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before="360"/>
        <w:ind/>
        <w:jc w:val="center"/>
        <w:rPr>
          <w:sz w:val="28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2"/>
        <w:rPr>
          <w:sz w:val="32"/>
        </w:rPr>
      </w:pPr>
      <w:r>
        <w:rPr>
          <w:sz w:val="32"/>
        </w:rPr>
        <w:t>КЕМЕРОВСКАЯ ОБЛАСТЬ</w:t>
      </w:r>
    </w:p>
    <w:p w14:paraId="09000000">
      <w:pPr>
        <w:pStyle w:val="Style_2"/>
        <w:rPr>
          <w:sz w:val="32"/>
        </w:rPr>
      </w:pPr>
      <w:r>
        <w:rPr>
          <w:sz w:val="32"/>
        </w:rPr>
        <w:t>АДМИНИСТРАЦИЯ</w:t>
      </w:r>
    </w:p>
    <w:p w14:paraId="0A000000">
      <w:pPr>
        <w:pStyle w:val="Style_2"/>
        <w:ind w:firstLine="0" w:left="-180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B000000">
      <w:pPr>
        <w:pStyle w:val="Style_3"/>
        <w:spacing w:before="240"/>
        <w:ind/>
        <w:jc w:val="center"/>
        <w:rPr>
          <w:rFonts w:ascii="Times New Roman" w:hAnsi="Times New Roman"/>
          <w:b w:val="0"/>
          <w:spacing w:val="60"/>
          <w:sz w:val="28"/>
        </w:rPr>
      </w:pPr>
      <w:r>
        <w:rPr>
          <w:rFonts w:ascii="Times New Roman" w:hAnsi="Times New Roman"/>
          <w:b w:val="0"/>
          <w:spacing w:val="60"/>
          <w:sz w:val="28"/>
        </w:rPr>
        <w:t>ПОСТАНОВЛЕНИЕ</w:t>
      </w:r>
    </w:p>
    <w:p w14:paraId="0C000000"/>
    <w:p w14:paraId="0D000000"/>
    <w:p w14:paraId="0E000000">
      <w:pPr>
        <w:spacing w:line="360" w:lineRule="auto"/>
        <w:ind/>
        <w:jc w:val="center"/>
        <w:rPr>
          <w:u w:val="single"/>
        </w:rPr>
      </w:pPr>
      <w:r>
        <w:t xml:space="preserve">           </w:t>
      </w:r>
      <w:r>
        <w:rPr>
          <w:sz w:val="24"/>
        </w:rPr>
        <w:t xml:space="preserve">   от «</w:t>
      </w:r>
      <w:r>
        <w:rPr>
          <w:sz w:val="24"/>
          <w:u w:val="single"/>
        </w:rPr>
        <w:t>25</w:t>
      </w:r>
      <w:r>
        <w:rPr>
          <w:sz w:val="24"/>
        </w:rPr>
        <w:t xml:space="preserve">» </w:t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>декабря 2025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 № _</w:t>
      </w:r>
      <w:r>
        <w:rPr>
          <w:sz w:val="24"/>
          <w:u w:val="single"/>
        </w:rPr>
        <w:t>1262-П</w:t>
      </w:r>
      <w:r>
        <w:rPr>
          <w:sz w:val="24"/>
        </w:rPr>
        <w:t>__</w:t>
      </w:r>
    </w:p>
    <w:p w14:paraId="0F000000">
      <w:pPr>
        <w:spacing w:line="360" w:lineRule="auto"/>
        <w:ind/>
        <w:jc w:val="center"/>
        <w:rPr>
          <w:u w:val="single"/>
        </w:rPr>
      </w:pPr>
      <w:r>
        <w:t>пгт</w:t>
      </w:r>
      <w:r>
        <w:t>. Промышленная</w:t>
      </w:r>
    </w:p>
    <w:p w14:paraId="10000000">
      <w:pPr>
        <w:ind/>
        <w:jc w:val="center"/>
        <w:rPr>
          <w:sz w:val="28"/>
        </w:rPr>
      </w:pPr>
    </w:p>
    <w:p w14:paraId="11000000">
      <w:pPr>
        <w:pStyle w:val="Style_4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sz w:val="28"/>
        </w:rPr>
        <w:t xml:space="preserve"> </w:t>
      </w:r>
      <w:r>
        <w:rPr>
          <w:b w:val="1"/>
          <w:sz w:val="28"/>
        </w:rPr>
        <w:t>внесении изменений в постановление администрации</w:t>
      </w:r>
      <w:r>
        <w:rPr>
          <w:b w:val="1"/>
          <w:sz w:val="28"/>
        </w:rPr>
        <w:br/>
      </w:r>
      <w:r>
        <w:rPr>
          <w:b w:val="1"/>
          <w:sz w:val="28"/>
        </w:rPr>
        <w:t>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2018-2027 годы»</w:t>
      </w:r>
      <w:r>
        <w:rPr>
          <w:b w:val="1"/>
          <w:sz w:val="28"/>
        </w:rPr>
        <w:br/>
      </w:r>
      <w:r>
        <w:rPr>
          <w:b w:val="1"/>
          <w:sz w:val="28"/>
        </w:rPr>
        <w:t>(в редакции постановлений от 29.12.2017 № 1478-П, от 17.07.2018</w:t>
      </w:r>
      <w:r>
        <w:rPr>
          <w:b w:val="1"/>
          <w:sz w:val="28"/>
        </w:rPr>
        <w:br/>
      </w:r>
      <w:r>
        <w:rPr>
          <w:b w:val="1"/>
          <w:sz w:val="28"/>
        </w:rPr>
        <w:t>№ 752-П, от 22.08.2018 № 909-П, от 29.10.2018 № 1231-П, от 29.12.2018</w:t>
      </w:r>
      <w:r>
        <w:rPr>
          <w:b w:val="1"/>
          <w:sz w:val="28"/>
        </w:rPr>
        <w:br/>
      </w:r>
      <w:r>
        <w:rPr>
          <w:b w:val="1"/>
          <w:sz w:val="28"/>
        </w:rPr>
        <w:t>№ 1548-П, от 29.12.2018 № 1553-П, от 21.05.2019 № 608-П, от 21.10.2019</w:t>
      </w:r>
      <w:r>
        <w:rPr>
          <w:b w:val="1"/>
          <w:sz w:val="28"/>
        </w:rPr>
        <w:br/>
      </w:r>
      <w:r>
        <w:rPr>
          <w:b w:val="1"/>
          <w:sz w:val="28"/>
        </w:rPr>
        <w:t>№ 1271-П, от 30.12.2019 № 1634-П, 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09.04.2020 № 661-П, от 09.09.2020</w:t>
      </w:r>
      <w:r>
        <w:rPr>
          <w:b w:val="1"/>
          <w:sz w:val="28"/>
        </w:rPr>
        <w:br/>
      </w:r>
      <w:r>
        <w:rPr>
          <w:b w:val="1"/>
          <w:sz w:val="28"/>
        </w:rPr>
        <w:t>№ 1399-П, от 12.10.2020 № 1602-П, от 30.12.2020 № 2136-П, от 27.05.2021 № 929-П, от 24.08.2021 № 1496-П, от 08.11.2021 № 1817-П, от 30.12.2021</w:t>
      </w:r>
      <w:r>
        <w:rPr>
          <w:b w:val="1"/>
          <w:sz w:val="28"/>
        </w:rPr>
        <w:br/>
      </w:r>
      <w:r>
        <w:rPr>
          <w:b w:val="1"/>
          <w:sz w:val="28"/>
        </w:rPr>
        <w:t>№ 2093-П, от 28.01.2022 № 61-П, от 16.05.2022 № 689-П, от 07.10.2022</w:t>
      </w:r>
      <w:r>
        <w:rPr>
          <w:b w:val="1"/>
          <w:sz w:val="28"/>
        </w:rPr>
        <w:br/>
      </w:r>
      <w:r>
        <w:rPr>
          <w:b w:val="1"/>
          <w:sz w:val="28"/>
        </w:rPr>
        <w:t>№ 1331-П, от 08.11.2022 № 1419-П, от 30.12.2022 № 1746-П,                                 от 25.07.2023 № 886-П, от 07.11.2023 № 1263-П, от 29.12.2023 № 1500-П,             от 16.05.2024 № 517-П, от 15.07.2024 № 802-П, от 07.11.2024 № 1134-П,             от 28.12.2024 № 1383-П, 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17.06.2025 № 585-П</w:t>
      </w:r>
      <w:r>
        <w:rPr>
          <w:b w:val="1"/>
          <w:sz w:val="28"/>
        </w:rPr>
        <w:t>, от 19.11.2025 № 1074-П</w:t>
      </w:r>
      <w:r>
        <w:rPr>
          <w:b w:val="1"/>
          <w:sz w:val="28"/>
        </w:rPr>
        <w:t>)</w:t>
      </w:r>
    </w:p>
    <w:p w14:paraId="12000000">
      <w:pPr>
        <w:ind w:right="-143"/>
        <w:jc w:val="both"/>
        <w:rPr>
          <w:sz w:val="28"/>
        </w:rPr>
      </w:pPr>
    </w:p>
    <w:p w14:paraId="13000000">
      <w:pPr>
        <w:tabs>
          <w:tab w:leader="none" w:pos="180" w:val="left"/>
          <w:tab w:leader="none" w:pos="918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В соответствии </w:t>
      </w:r>
      <w:r>
        <w:rPr>
          <w:sz w:val="28"/>
        </w:rPr>
        <w:t>с решением Совета народных депутатов Промышленнов</w:t>
      </w:r>
      <w:r>
        <w:rPr>
          <w:sz w:val="28"/>
        </w:rPr>
        <w:t xml:space="preserve">ского муниципального округа от </w:t>
      </w:r>
      <w:r>
        <w:rPr>
          <w:sz w:val="28"/>
        </w:rPr>
        <w:t>25.12.2025 № 113</w:t>
      </w:r>
      <w:r>
        <w:rPr>
          <w:sz w:val="28"/>
        </w:rPr>
        <w:t xml:space="preserve"> </w:t>
      </w:r>
      <w:r>
        <w:rPr>
          <w:sz w:val="28"/>
        </w:rPr>
        <w:t xml:space="preserve">                     </w:t>
      </w:r>
      <w:r>
        <w:rPr>
          <w:sz w:val="28"/>
        </w:rPr>
        <w:t>«</w:t>
      </w:r>
      <w:r>
        <w:rPr>
          <w:sz w:val="28"/>
        </w:rPr>
        <w:t xml:space="preserve">О внесении изменений в решение Совета народных депутатов Промышленновского муниципального округа от </w:t>
      </w:r>
      <w:r>
        <w:rPr>
          <w:sz w:val="28"/>
        </w:rPr>
        <w:t xml:space="preserve">26.12.2024 № 42 </w:t>
      </w:r>
      <w:r>
        <w:rPr>
          <w:sz w:val="28"/>
        </w:rPr>
        <w:t xml:space="preserve">                            «</w:t>
      </w:r>
      <w:r>
        <w:rPr>
          <w:sz w:val="28"/>
        </w:rPr>
        <w:t>О бюджете Промышленновского муниципального округа на 2025 год и плановый период 2026 и 2027 годов</w:t>
      </w:r>
      <w:r>
        <w:rPr>
          <w:sz w:val="28"/>
        </w:rPr>
        <w:t xml:space="preserve">», </w:t>
      </w:r>
      <w:r>
        <w:rPr>
          <w:sz w:val="28"/>
        </w:rPr>
        <w:t>постановлением администрации Промышленновского муниц</w:t>
      </w:r>
      <w:r>
        <w:rPr>
          <w:sz w:val="28"/>
        </w:rPr>
        <w:t xml:space="preserve">ипального округа от 28.04.2020 </w:t>
      </w:r>
      <w:r>
        <w:rPr>
          <w:sz w:val="28"/>
        </w:rPr>
        <w:t>№ 754-П</w:t>
      </w:r>
      <w:r>
        <w:rPr>
          <w:sz w:val="28"/>
        </w:rPr>
        <w:t xml:space="preserve">                 </w:t>
      </w:r>
      <w:r>
        <w:rPr>
          <w:sz w:val="28"/>
        </w:rPr>
        <w:t xml:space="preserve"> «Об утверждении порядка разработки, реализации и оценки эффективности муниципальных программ</w:t>
      </w:r>
      <w:r>
        <w:rPr>
          <w:sz w:val="28"/>
        </w:rPr>
        <w:t xml:space="preserve">, реализуемых за счет средств местного бюджета» </w:t>
      </w:r>
      <w:r>
        <w:rPr>
          <w:sz w:val="28"/>
        </w:rPr>
        <w:t>и в целях реализации полномочий администрации Промышленновского муниципального округа:</w:t>
      </w:r>
    </w:p>
    <w:p w14:paraId="14000000">
      <w:pPr>
        <w:tabs>
          <w:tab w:leader="none" w:pos="180" w:val="left"/>
          <w:tab w:leader="none" w:pos="918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в муниципальную программу «Обеспечение безопасности жизнедеятельности населения и предприятий в Промышленновском муниципальном округе» на 2018-2027 годы», утвержденную постановлением администрации Промышленновского муниципального округа от 09.11.2017 № 1270а-П (в редакции постановлений от 29.12.2017 № 1478-П, от 17.07.2018 </w:t>
      </w:r>
      <w:r>
        <w:rPr>
          <w:sz w:val="28"/>
        </w:rPr>
        <w:t>№ 752-П, от 22.08.2018 № 909-П, от 29.10.2018 № 1231-П, от 29.12.2018         № 1548-П, от 29.12.2018 № 1553-П, от 21.05.2019 № 608-П,                                      от 21.10.2019 № 1271-П, от 30.12.2019 № 1634-П, от 09.04.2020 № 661-П,            от</w:t>
      </w:r>
      <w:r>
        <w:rPr>
          <w:sz w:val="28"/>
        </w:rPr>
        <w:t xml:space="preserve"> </w:t>
      </w:r>
      <w:r>
        <w:rPr>
          <w:sz w:val="28"/>
        </w:rPr>
        <w:t>09.09.2020 № 1399-П, от 12.10.2020 № 1602-П, от 30.12.2020 № 2136-П,          от 27.05.2021 № 929-П, от 24.08.2021 № 1496-П, от 08.11.2021 № 1817-П,             от 30.12.2021 № 2093-П, от 28.01.2022 № 61-П, от 16.05.2022 № 689-П,          от 07.10.2022 № 1331-П, от 08.11.2022 № 1419-П,</w:t>
      </w:r>
      <w:r>
        <w:rPr>
          <w:b w:val="1"/>
          <w:sz w:val="28"/>
        </w:rPr>
        <w:t xml:space="preserve"> </w:t>
      </w:r>
      <w:r>
        <w:rPr>
          <w:sz w:val="28"/>
        </w:rPr>
        <w:t>от 30.12.2022 № 1746-П,           от 25.07.2023 № 886-П,</w:t>
      </w:r>
      <w:r>
        <w:rPr>
          <w:b w:val="1"/>
          <w:sz w:val="28"/>
        </w:rPr>
        <w:t xml:space="preserve"> </w:t>
      </w:r>
      <w:r>
        <w:rPr>
          <w:sz w:val="28"/>
        </w:rPr>
        <w:t>от 07.11.2023 № 1263-П, от 29.12.2023 № 1500-П,             от 16.05.2024 № 517-П, от 15.07.2024 № 802-П,</w:t>
      </w:r>
      <w:r>
        <w:rPr>
          <w:b w:val="1"/>
          <w:sz w:val="28"/>
        </w:rPr>
        <w:t xml:space="preserve"> </w:t>
      </w:r>
      <w:r>
        <w:rPr>
          <w:sz w:val="28"/>
        </w:rPr>
        <w:t>от 07.11.2024 № 1134-П</w:t>
      </w:r>
      <w:r>
        <w:rPr>
          <w:b w:val="1"/>
          <w:sz w:val="28"/>
        </w:rPr>
        <w:t xml:space="preserve">               </w:t>
      </w:r>
      <w:r>
        <w:rPr>
          <w:sz w:val="28"/>
        </w:rPr>
        <w:t>от</w:t>
      </w:r>
      <w:r>
        <w:rPr>
          <w:b w:val="1"/>
          <w:sz w:val="28"/>
        </w:rPr>
        <w:t xml:space="preserve"> </w:t>
      </w:r>
      <w:r>
        <w:rPr>
          <w:sz w:val="28"/>
        </w:rPr>
        <w:t>28.12.2024 № 1383-П, от 17.06.2025 № 585-П</w:t>
      </w:r>
      <w:r>
        <w:rPr>
          <w:sz w:val="28"/>
        </w:rPr>
        <w:t xml:space="preserve">,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19.11.2025 № 1074-П</w:t>
      </w:r>
      <w:r>
        <w:rPr>
          <w:sz w:val="28"/>
        </w:rPr>
        <w:t>) (далее – Программа) следующие изменения:</w:t>
      </w:r>
    </w:p>
    <w:p w14:paraId="15000000">
      <w:pPr>
        <w:tabs>
          <w:tab w:leader="none" w:pos="10260" w:val="left"/>
        </w:tabs>
        <w:ind w:firstLine="709" w:left="0"/>
        <w:jc w:val="both"/>
        <w:rPr>
          <w:sz w:val="28"/>
        </w:rPr>
      </w:pPr>
      <w:r>
        <w:rPr>
          <w:sz w:val="28"/>
        </w:rPr>
        <w:t>1.1. Паспорт Программы изложить в редакции согласно приложению    № 1 к настоящему Постановлению;</w:t>
      </w:r>
    </w:p>
    <w:p w14:paraId="16000000">
      <w:pPr>
        <w:ind w:firstLine="708" w:left="0" w:right="-1"/>
        <w:jc w:val="both"/>
        <w:rPr>
          <w:sz w:val="28"/>
        </w:rPr>
      </w:pPr>
      <w:r>
        <w:rPr>
          <w:sz w:val="28"/>
        </w:rPr>
        <w:t>1.2. Разделы 1-6 Программы изложить в редакции согласно приложению № 2 к настоящему Постановлению.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                                информационно-телекоммуникационной сети «Интернет».</w:t>
      </w:r>
    </w:p>
    <w:p w14:paraId="18000000">
      <w:pPr>
        <w:ind w:firstLine="708" w:left="0" w:right="-1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                          Т.В. </w:t>
      </w:r>
      <w:r>
        <w:rPr>
          <w:sz w:val="28"/>
        </w:rPr>
        <w:t>Мясоедову</w:t>
      </w:r>
      <w:r>
        <w:rPr>
          <w:sz w:val="28"/>
        </w:rPr>
        <w:t>.</w:t>
      </w:r>
    </w:p>
    <w:p w14:paraId="19000000">
      <w:pPr>
        <w:ind w:firstLine="708" w:left="0" w:right="-143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подписания. </w:t>
      </w:r>
    </w:p>
    <w:p w14:paraId="1A000000">
      <w:pPr>
        <w:ind w:firstLine="708" w:left="0" w:right="-143"/>
        <w:jc w:val="both"/>
        <w:rPr>
          <w:sz w:val="28"/>
        </w:rPr>
      </w:pPr>
    </w:p>
    <w:p w14:paraId="1B000000">
      <w:pPr>
        <w:ind w:firstLine="708" w:left="0" w:right="-143"/>
        <w:jc w:val="both"/>
        <w:rPr>
          <w:sz w:val="28"/>
        </w:rPr>
      </w:pPr>
    </w:p>
    <w:p w14:paraId="1C000000">
      <w:pPr>
        <w:ind w:firstLine="708" w:left="0"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5868"/>
        <w:gridCol w:w="3879"/>
      </w:tblGrid>
      <w:tr>
        <w:tc>
          <w:tcPr>
            <w:tcW w:type="dxa" w:w="5868"/>
            <w:shd w:fill="auto" w:val="clear"/>
          </w:tcPr>
          <w:p w14:paraId="1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</w:tc>
        <w:tc>
          <w:tcPr>
            <w:tcW w:type="dxa" w:w="3879"/>
            <w:shd w:fill="auto" w:val="clear"/>
          </w:tcPr>
          <w:p w14:paraId="1E000000">
            <w:pPr>
              <w:widowControl w:val="0"/>
              <w:ind/>
              <w:rPr>
                <w:sz w:val="28"/>
              </w:rPr>
            </w:pPr>
          </w:p>
        </w:tc>
      </w:tr>
      <w:tr>
        <w:trPr>
          <w:trHeight w:hRule="atLeast" w:val="385"/>
        </w:trPr>
        <w:tc>
          <w:tcPr>
            <w:tcW w:type="dxa" w:w="5868"/>
            <w:shd w:fill="auto" w:val="clear"/>
          </w:tcPr>
          <w:p w14:paraId="1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879"/>
            <w:shd w:fill="auto" w:val="clear"/>
          </w:tcPr>
          <w:p w14:paraId="20000000">
            <w:pPr>
              <w:widowControl w:val="0"/>
              <w:tabs>
                <w:tab w:leader="none" w:pos="363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r>
              <w:rPr>
                <w:sz w:val="28"/>
              </w:rPr>
              <w:t>Федарюк</w:t>
            </w:r>
          </w:p>
        </w:tc>
      </w:tr>
    </w:tbl>
    <w:p w14:paraId="21000000">
      <w:pPr>
        <w:tabs>
          <w:tab w:leader="none" w:pos="180" w:val="left"/>
          <w:tab w:leader="none" w:pos="9180" w:val="left"/>
        </w:tabs>
        <w:ind/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r>
        <w:t xml:space="preserve">Исп. К.В. </w:t>
      </w:r>
      <w:r>
        <w:t>Дзалбо</w:t>
      </w:r>
    </w:p>
    <w:p w14:paraId="32000000">
      <w:r>
        <w:t>Тел. 72005</w:t>
      </w:r>
    </w:p>
    <w:p w14:paraId="33000000"/>
    <w:p w14:paraId="34000000">
      <w:pPr>
        <w:pStyle w:val="Style_1"/>
      </w:pPr>
      <w:r>
        <w:t xml:space="preserve">постановление от «25» декабря 2025 </w:t>
      </w:r>
      <w:r>
        <w:t>г</w:t>
      </w:r>
      <w:r>
        <w:t>. № 1262-П</w:t>
      </w:r>
      <w:r>
        <w:t xml:space="preserve">             </w:t>
      </w:r>
      <w:r>
        <w:tab/>
      </w:r>
      <w:r>
        <w:t xml:space="preserve">                                                            страница 2</w:t>
      </w:r>
    </w:p>
    <w:p w14:paraId="35000000">
      <w:pPr>
        <w:sectPr>
          <w:footerReference r:id="rId3" w:type="first"/>
          <w:footerReference r:id="rId5" w:type="default"/>
          <w:pgSz w:h="16838" w:orient="portrait" w:w="11906"/>
          <w:pgMar w:bottom="280" w:footer="223" w:gutter="0" w:header="0" w:left="1701" w:right="850" w:top="426"/>
          <w:titlePg/>
        </w:sectPr>
      </w:pPr>
    </w:p>
    <w:p w14:paraId="36000000"/>
    <w:p w14:paraId="37000000">
      <w:pPr>
        <w:sectPr>
          <w:footerReference r:id="rId1" w:type="default"/>
          <w:type w:val="continuous"/>
          <w:pgSz w:h="16838" w:orient="portrait" w:w="11906"/>
          <w:pgMar w:bottom="280" w:footer="223" w:gutter="0" w:header="0" w:left="1701" w:right="850" w:top="426"/>
        </w:sectPr>
      </w:pPr>
    </w:p>
    <w:tbl>
      <w:tblPr>
        <w:tblStyle w:val="Style_6"/>
        <w:tblInd w:type="dxa" w:w="6204"/>
        <w:tblLayout w:type="fixed"/>
      </w:tblPr>
      <w:tblGrid>
        <w:gridCol w:w="9007"/>
      </w:tblGrid>
      <w:tr>
        <w:trPr>
          <w:trHeight w:hRule="atLeast" w:val="2117"/>
        </w:trPr>
        <w:tc>
          <w:tcPr>
            <w:tcW w:type="dxa" w:w="900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39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14:paraId="3A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14:paraId="3B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14:paraId="3C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_</w:t>
            </w:r>
            <w:r>
              <w:rPr>
                <w:sz w:val="28"/>
                <w:u w:val="single"/>
              </w:rPr>
              <w:t>25.12.2025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 xml:space="preserve"> № _</w:t>
            </w:r>
            <w:r>
              <w:rPr>
                <w:sz w:val="28"/>
              </w:rPr>
              <w:t>_</w:t>
            </w:r>
            <w:r>
              <w:rPr>
                <w:sz w:val="28"/>
                <w:u w:val="single"/>
              </w:rPr>
              <w:t>1262-П</w:t>
            </w:r>
            <w:r>
              <w:rPr>
                <w:sz w:val="28"/>
              </w:rPr>
              <w:t xml:space="preserve">__    </w:t>
            </w:r>
          </w:p>
        </w:tc>
      </w:tr>
    </w:tbl>
    <w:p w14:paraId="3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3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муниципальной программы «Обеспечение безопасности жизнедеятельности населения и предприятий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</w:p>
    <w:p w14:paraId="3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Промышленновском</w:t>
      </w:r>
      <w:r>
        <w:rPr>
          <w:b w:val="1"/>
          <w:sz w:val="28"/>
        </w:rPr>
        <w:t xml:space="preserve"> муниципальном округе»  </w:t>
      </w:r>
    </w:p>
    <w:p w14:paraId="4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2018-2027 годы</w:t>
      </w:r>
    </w:p>
    <w:p w14:paraId="41000000">
      <w:pPr>
        <w:ind/>
        <w:jc w:val="center"/>
        <w:rPr>
          <w:b w:val="1"/>
          <w:sz w:val="28"/>
        </w:rPr>
      </w:pPr>
    </w:p>
    <w:tbl>
      <w:tblPr>
        <w:tblStyle w:val="Style_5"/>
        <w:tblLayout w:type="fixed"/>
      </w:tblPr>
      <w:tblGrid>
        <w:gridCol w:w="250"/>
        <w:gridCol w:w="2292"/>
        <w:gridCol w:w="5754"/>
        <w:gridCol w:w="5558"/>
        <w:gridCol w:w="1172"/>
      </w:tblGrid>
      <w:tr>
        <w:trPr>
          <w:trHeight w:hRule="atLeast" w:val="1486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pStyle w:val="Style_4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</w:p>
          <w:p w14:paraId="44000000">
            <w:pPr>
              <w:pStyle w:val="Style_4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2018-2027 годы</w:t>
            </w:r>
          </w:p>
        </w:tc>
      </w:tr>
      <w:tr>
        <w:trPr>
          <w:trHeight w:hRule="atLeast" w:val="488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Директор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первого заместителя главы Промышленновского муниципального округа 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ГО и ЧС администрации Промышленновского муниципального округа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Исполнители </w:t>
            </w:r>
          </w:p>
          <w:p w14:paraId="4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культуры, молодёжной политики, спорта и туризма администрации Промышленновского муниципального округа; </w:t>
            </w:r>
          </w:p>
          <w:p w14:paraId="4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Промышленновского муниципального округа;</w:t>
            </w:r>
          </w:p>
          <w:p w14:paraId="4D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Промышленновского муниципального округа;</w:t>
            </w:r>
          </w:p>
          <w:p w14:paraId="4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по жизнеобеспечению и строительству администрации Промышленновского муниципального округа;</w:t>
            </w:r>
          </w:p>
          <w:p w14:paraId="4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Промышленновского муниципального округа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Наименование подпрограмм 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«Содержание системы по предупреждению и ликвидации чрезвычайных ситуаций и стихийных бедствий»</w:t>
            </w:r>
          </w:p>
          <w:p w14:paraId="5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«Борьба с преступностью и профилактика правонарушений»</w:t>
            </w:r>
          </w:p>
          <w:p w14:paraId="5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Подпрограмма «Безопасность </w:t>
            </w:r>
            <w:r>
              <w:rPr>
                <w:sz w:val="28"/>
              </w:rPr>
              <w:t>дорожного движения»</w:t>
            </w:r>
          </w:p>
          <w:p w14:paraId="5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  <w:p w14:paraId="55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«Антитеррор»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  <w:rPr>
                <w:color w:val="FF0000"/>
                <w:sz w:val="28"/>
                <w:highlight w:val="green"/>
              </w:rPr>
            </w:pPr>
            <w:r>
              <w:rPr>
                <w:sz w:val="28"/>
              </w:rPr>
              <w:t xml:space="preserve">Уменьшение риска возникновения чрезвычайных ситуаций; Оптимизация работы по предупреждению преступлений и правонарушений. Обеспечение безопасности граждан; Повышение уровня знаний в вопросах пропаганды безопасности дорожного движения, профилактики дорожно-транспортного травматизма; Координация усилий и повышение эффективности мер по противодействию </w:t>
            </w:r>
            <w:r>
              <w:rPr>
                <w:sz w:val="28"/>
              </w:rPr>
              <w:t>наркоугрозе</w:t>
            </w:r>
            <w:r>
              <w:rPr>
                <w:sz w:val="28"/>
              </w:rPr>
              <w:t>; 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      </w:r>
          </w:p>
        </w:tc>
      </w:tr>
      <w:tr>
        <w:trPr>
          <w:trHeight w:hRule="atLeast" w:val="273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 Профилактика правонарушений в Промышленновском муниципальном округе. Снижение преступлений, совершенных на улице и в общественных местах; 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дорогах; Совершенствование механизма и повышение эффективности проводимых мероприятий по противодействию незаконному обороту наркотических средств;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</w:t>
            </w:r>
          </w:p>
        </w:tc>
      </w:tr>
      <w:tr>
        <w:trPr>
          <w:trHeight w:hRule="atLeast" w:val="1032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2018-2027 годы</w:t>
            </w:r>
          </w:p>
        </w:tc>
      </w:tr>
      <w:tr>
        <w:trPr>
          <w:trHeight w:hRule="atLeast" w:val="2120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pStyle w:val="Style_7"/>
              <w:widowControl w:val="0"/>
              <w:ind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Всего средств 2062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60,9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тыс. рублей,</w:t>
            </w:r>
          </w:p>
          <w:p w14:paraId="5E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 том числе по годам реализации:</w:t>
            </w:r>
          </w:p>
          <w:p w14:paraId="5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2018 год – 2457,2 тыс. рублей;</w:t>
            </w:r>
          </w:p>
          <w:p w14:paraId="60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2019 год – 2594,4 тыс. рублей;</w:t>
            </w:r>
          </w:p>
          <w:p w14:paraId="61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2020 год – 4403,1 тыс. рублей;</w:t>
            </w:r>
          </w:p>
          <w:p w14:paraId="62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2021 год – 3517,6 тыс. рублей;</w:t>
            </w:r>
          </w:p>
          <w:p w14:paraId="63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2022 год – 8634,0 тыс. рублей;</w:t>
            </w:r>
          </w:p>
          <w:p w14:paraId="64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2023 год – 76007,5 тыс. рублей;</w:t>
            </w:r>
          </w:p>
          <w:p w14:paraId="65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2024 год – 49117,4 тыс. рублей;</w:t>
            </w:r>
          </w:p>
          <w:p w14:paraId="66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2025 год – 37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943,7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тыс. рублей;</w:t>
            </w:r>
          </w:p>
          <w:p w14:paraId="67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2026 год – 10793,0 тыс. рублей;</w:t>
            </w:r>
          </w:p>
          <w:p w14:paraId="68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 – 10793,0 тыс. рублей.</w:t>
            </w:r>
          </w:p>
          <w:p w14:paraId="69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из них: местный бюджет – 7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6006,4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тыс. рублей, </w:t>
            </w:r>
          </w:p>
          <w:p w14:paraId="6A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 том числе по годам реализации:</w:t>
            </w:r>
          </w:p>
          <w:p w14:paraId="6B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2018 год – 2457,2 тыс. рублей;</w:t>
            </w:r>
          </w:p>
          <w:p w14:paraId="6C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2019 год – 2594,4 тыс. рублей;</w:t>
            </w:r>
          </w:p>
          <w:p w14:paraId="6D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2020 год – 4403,1 тыс. рублей;</w:t>
            </w:r>
          </w:p>
          <w:p w14:paraId="6E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2021 год – 3517,6 тыс. рублей;</w:t>
            </w:r>
          </w:p>
          <w:p w14:paraId="6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2022 год – 8634,0 тыс. рублей;</w:t>
            </w:r>
            <w:bookmarkStart w:id="1" w:name="_GoBack"/>
            <w:bookmarkEnd w:id="1"/>
          </w:p>
          <w:p w14:paraId="70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2023 год – 9600,9 тыс. рублей;</w:t>
            </w:r>
          </w:p>
          <w:p w14:paraId="71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2024 год – 10605,2 тыс. рублей; </w:t>
            </w:r>
          </w:p>
          <w:p w14:paraId="72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2025 го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д – 12608,0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тыс. рублей;</w:t>
            </w:r>
          </w:p>
          <w:p w14:paraId="73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2026 год – 10793,0 тыс. рублей; </w:t>
            </w:r>
          </w:p>
          <w:p w14:paraId="74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 – 10793,0 тыс. рублей</w:t>
            </w:r>
          </w:p>
          <w:p w14:paraId="75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 – 130254,5</w:t>
            </w:r>
            <w:r>
              <w:rPr>
                <w:rFonts w:ascii="Times New Roman" w:hAnsi="Times New Roman"/>
                <w:sz w:val="28"/>
              </w:rPr>
              <w:t xml:space="preserve"> тыс. рублей,</w:t>
            </w:r>
          </w:p>
          <w:p w14:paraId="76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 реализации:</w:t>
            </w:r>
          </w:p>
          <w:p w14:paraId="77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0,0 тыс. рублей;</w:t>
            </w:r>
          </w:p>
          <w:p w14:paraId="78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0,0 тыс. рублей;</w:t>
            </w:r>
          </w:p>
          <w:p w14:paraId="79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0,0 тыс. рублей;</w:t>
            </w:r>
          </w:p>
          <w:p w14:paraId="7A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0,0 тыс. рублей;</w:t>
            </w:r>
          </w:p>
          <w:p w14:paraId="7B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14:paraId="7C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66406,6 тыс. рублей;</w:t>
            </w:r>
          </w:p>
          <w:p w14:paraId="7D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38512,2 тыс. рублей;</w:t>
            </w:r>
          </w:p>
          <w:p w14:paraId="7E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25335,7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7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2026 год – 0,0 тыс. рублей;</w:t>
            </w:r>
          </w:p>
          <w:p w14:paraId="80000000">
            <w:pPr>
              <w:pStyle w:val="Style_7"/>
              <w:widowControl w:val="0"/>
              <w:ind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–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0,0 тыс. рублей.</w:t>
            </w:r>
          </w:p>
        </w:tc>
      </w:tr>
      <w:tr>
        <w:trPr>
          <w:trHeight w:hRule="atLeast" w:val="560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Уменьшения риска возникновения чрезвычайных ситуаций, а также на сохранение здоровья людей; снижение размеров ущерба окружающей природной среде и материальных потерь в случае их возникновения;</w:t>
            </w:r>
          </w:p>
          <w:p w14:paraId="8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пропаганды информационного обеспечения; обучения населения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безопасности, охраны жизни людей на водных объектах;</w:t>
            </w:r>
          </w:p>
          <w:p w14:paraId="8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оперативного реагирования служб жизнеобеспечения на предупреждение и ликвидацию чрезвычайной ситуации; </w:t>
            </w:r>
          </w:p>
          <w:p w14:paraId="8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Снижение социальной напряженности, повышение эффективности социальной реабилитации лиц, отбывших наказание в виде лишения свободы; </w:t>
            </w:r>
          </w:p>
          <w:p w14:paraId="8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эффективной профилактики распространения наркомании и связанных с ней правонарушений;</w:t>
            </w:r>
          </w:p>
          <w:p w14:paraId="8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тяжести последствий от дорожно-транспортных происшествий;</w:t>
            </w:r>
          </w:p>
          <w:p w14:paraId="8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Сокращение детского дорожно-транспортного травматизма;</w:t>
            </w:r>
          </w:p>
          <w:p w14:paraId="8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Минимизация возможности </w:t>
            </w:r>
            <w:r>
              <w:rPr>
                <w:color w:themeColor="text1" w:val="000000"/>
                <w:sz w:val="28"/>
              </w:rPr>
              <w:t xml:space="preserve">возникновения </w:t>
            </w:r>
            <w:r>
              <w:rPr>
                <w:color w:themeColor="text1" w:val="000000"/>
                <w:sz w:val="28"/>
                <w:highlight w:val="white"/>
              </w:rPr>
              <w:t>и распространение терроризма.</w:t>
            </w:r>
            <w:r>
              <w:rPr>
                <w:color w:val="333333"/>
                <w:sz w:val="28"/>
                <w:highlight w:val="white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50"/>
          </w:tcPr>
          <w:p/>
        </w:tc>
        <w:tc>
          <w:tcPr>
            <w:tcW w:type="dxa" w:w="8046"/>
            <w:gridSpan w:val="2"/>
          </w:tcPr>
          <w:p w14:paraId="8A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B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C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D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8E00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1172"/>
          </w:tcPr>
          <w:p/>
        </w:tc>
      </w:tr>
      <w:tr>
        <w:trPr>
          <w:trHeight w:hRule="atLeast" w:val="320"/>
        </w:trPr>
        <w:tc>
          <w:tcPr>
            <w:tcW w:type="dxa" w:w="250"/>
          </w:tcPr>
          <w:p/>
        </w:tc>
        <w:tc>
          <w:tcPr>
            <w:tcW w:type="dxa" w:w="8046"/>
            <w:gridSpan w:val="2"/>
          </w:tcPr>
          <w:p w14:paraId="8F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9000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  <w:tc>
          <w:tcPr>
            <w:tcW w:type="dxa" w:w="1172"/>
          </w:tcPr>
          <w:p/>
        </w:tc>
      </w:tr>
    </w:tbl>
    <w:p w14:paraId="91000000"/>
    <w:p w14:paraId="92000000"/>
    <w:p w14:paraId="93000000">
      <w:pPr>
        <w:sectPr>
          <w:footerReference r:id="rId4" w:type="default"/>
          <w:pgSz w:h="11906" w:orient="landscape" w:w="16838"/>
          <w:pgMar w:bottom="1134" w:footer="223" w:gutter="0" w:header="0" w:left="426" w:right="280" w:top="850"/>
        </w:sectPr>
      </w:pPr>
    </w:p>
    <w:tbl>
      <w:tblPr>
        <w:tblStyle w:val="Style_6"/>
        <w:tblInd w:type="dxa" w:w="6062"/>
        <w:tblLayout w:type="fixed"/>
      </w:tblPr>
      <w:tblGrid>
        <w:gridCol w:w="9149"/>
      </w:tblGrid>
      <w:tr>
        <w:tc>
          <w:tcPr>
            <w:tcW w:type="dxa" w:w="914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95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14:paraId="96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14:paraId="97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14:paraId="98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от _</w:t>
            </w:r>
            <w:r>
              <w:rPr>
                <w:sz w:val="28"/>
                <w:u w:val="single"/>
              </w:rPr>
              <w:t>25.12.2025</w:t>
            </w:r>
            <w:r>
              <w:rPr>
                <w:sz w:val="28"/>
              </w:rPr>
              <w:t>__ № __</w:t>
            </w:r>
            <w:r>
              <w:rPr>
                <w:sz w:val="28"/>
                <w:u w:val="single"/>
              </w:rPr>
              <w:t>1262-П</w:t>
            </w:r>
            <w:r>
              <w:rPr>
                <w:sz w:val="28"/>
              </w:rPr>
              <w:t>__</w:t>
            </w:r>
          </w:p>
          <w:p w14:paraId="9900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9A000000">
      <w:pPr>
        <w:ind w:firstLine="0" w:left="4253"/>
        <w:jc w:val="center"/>
        <w:rPr>
          <w:sz w:val="28"/>
        </w:rPr>
      </w:pPr>
    </w:p>
    <w:p w14:paraId="9B000000">
      <w:pPr>
        <w:spacing w:after="200"/>
        <w:ind/>
        <w:jc w:val="center"/>
        <w:rPr>
          <w:b w:val="1"/>
          <w:sz w:val="28"/>
        </w:rPr>
      </w:pPr>
      <w:r>
        <w:rPr>
          <w:b w:val="1"/>
          <w:sz w:val="28"/>
        </w:rPr>
        <w:t>1. Характеристика текущего состояния в Промышленновском муниципальном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14:paraId="9C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Выполнение мероприятий данной программы требует законодательство Российской Федерации в области гражданской обороны, защиты населения и территорий от чрезвычайных ситуаций, управление образования, управление культуры, управление социальной защиты населения. </w:t>
      </w:r>
    </w:p>
    <w:p w14:paraId="9D000000">
      <w:pPr>
        <w:ind w:firstLine="708" w:left="0"/>
        <w:jc w:val="both"/>
        <w:rPr>
          <w:sz w:val="28"/>
        </w:rPr>
      </w:pPr>
      <w:r>
        <w:rPr>
          <w:sz w:val="28"/>
        </w:rPr>
        <w:t>В настоящее время качество организации обучения населения, особенно неработающего,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безопасности, охраны жизни людей на водных объектах не в полном объеме соответствует требованиям законодательства РФ в данных областях. Это связанно с недостатком учебно-методической литературы, отсутствием учебно-консультационных пунктов.</w:t>
      </w:r>
    </w:p>
    <w:p w14:paraId="9E000000">
      <w:pPr>
        <w:ind w:firstLine="708" w:left="0"/>
        <w:jc w:val="both"/>
        <w:rPr>
          <w:sz w:val="28"/>
        </w:rPr>
      </w:pPr>
      <w:r>
        <w:rPr>
          <w:sz w:val="28"/>
        </w:rPr>
        <w:t>При жестком ограничении бюджетного финансирования успешное решение разносторонних задач в области пожарной безопасности возможно лишь с использованием программно-целевых методов.</w:t>
      </w:r>
    </w:p>
    <w:p w14:paraId="9F000000">
      <w:pPr>
        <w:ind/>
        <w:jc w:val="center"/>
        <w:rPr>
          <w:sz w:val="28"/>
        </w:rPr>
      </w:pPr>
    </w:p>
    <w:p w14:paraId="A0000000">
      <w:pPr>
        <w:spacing w:after="20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2. Описание целей и задач программы </w:t>
      </w:r>
    </w:p>
    <w:p w14:paraId="A1000000">
      <w:pPr>
        <w:ind w:firstLine="708" w:left="0"/>
        <w:jc w:val="both"/>
        <w:rPr>
          <w:sz w:val="28"/>
        </w:rPr>
      </w:pPr>
      <w:r>
        <w:rPr>
          <w:sz w:val="28"/>
        </w:rPr>
        <w:t>Основной целью настоящей программы является:</w:t>
      </w:r>
    </w:p>
    <w:p w14:paraId="A2000000">
      <w:pPr>
        <w:ind w:firstLine="708" w:left="0"/>
        <w:jc w:val="both"/>
        <w:rPr>
          <w:sz w:val="28"/>
        </w:rPr>
      </w:pPr>
      <w:r>
        <w:rPr>
          <w:sz w:val="28"/>
        </w:rPr>
        <w:t>- уменьшение риска возникновения чрезвычайных ситуаций;</w:t>
      </w:r>
    </w:p>
    <w:p w14:paraId="A3000000">
      <w:pPr>
        <w:ind w:firstLine="708" w:left="0"/>
        <w:jc w:val="both"/>
        <w:rPr>
          <w:sz w:val="28"/>
        </w:rPr>
      </w:pPr>
      <w:r>
        <w:rPr>
          <w:sz w:val="28"/>
        </w:rPr>
        <w:t>- оптимизация работы по предупреждению преступлений и правонарушений. Обеспечение безопасности граждан.</w:t>
      </w:r>
    </w:p>
    <w:p w14:paraId="A4000000">
      <w:pPr>
        <w:ind w:firstLine="708" w:left="0"/>
        <w:jc w:val="both"/>
        <w:rPr>
          <w:sz w:val="28"/>
        </w:rPr>
      </w:pPr>
      <w:r>
        <w:rPr>
          <w:sz w:val="28"/>
        </w:rPr>
        <w:t>- повышение уровня знаний в вопросах пропаганды безопасности дорожного движения, профилактики дорожно-транспортного травматизма;</w:t>
      </w:r>
    </w:p>
    <w:p w14:paraId="A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координация усилий и повышение эффективности мер по противодействию </w:t>
      </w:r>
      <w:r>
        <w:rPr>
          <w:sz w:val="28"/>
        </w:rPr>
        <w:t>наркоугрозе</w:t>
      </w:r>
      <w:r>
        <w:rPr>
          <w:sz w:val="28"/>
        </w:rPr>
        <w:t>;</w:t>
      </w:r>
    </w:p>
    <w:p w14:paraId="A6000000">
      <w:pPr>
        <w:ind w:firstLine="708" w:left="0"/>
        <w:jc w:val="both"/>
        <w:rPr>
          <w:sz w:val="28"/>
        </w:rPr>
      </w:pPr>
      <w:r>
        <w:rPr>
          <w:sz w:val="28"/>
        </w:rPr>
        <w:t>- 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</w:r>
    </w:p>
    <w:p w14:paraId="A7000000">
      <w:pPr>
        <w:ind w:firstLine="708" w:left="0"/>
        <w:jc w:val="both"/>
        <w:rPr>
          <w:sz w:val="28"/>
        </w:rPr>
      </w:pPr>
      <w:r>
        <w:rPr>
          <w:sz w:val="28"/>
        </w:rPr>
        <w:t>Для достижения поставленной цели необходимо решение следующих основных задач:</w:t>
      </w:r>
    </w:p>
    <w:p w14:paraId="A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 </w:t>
      </w:r>
    </w:p>
    <w:p w14:paraId="A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профилактика правонарушений в Промышленновском муниципальном округе. Снижение преступлений, совершенных на улице и в общественных местах; </w:t>
      </w:r>
    </w:p>
    <w:p w14:paraId="A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дорогах; </w:t>
      </w:r>
    </w:p>
    <w:p w14:paraId="A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совершенствование механизма и повышение эффективности проводимых мероприятий по противодействию незаконному обороту наркотических средств; </w:t>
      </w:r>
    </w:p>
    <w:p w14:paraId="AC000000">
      <w:pPr>
        <w:ind w:firstLine="709" w:left="0"/>
        <w:jc w:val="both"/>
        <w:rPr>
          <w:sz w:val="28"/>
        </w:rPr>
      </w:pPr>
      <w:r>
        <w:rPr>
          <w:sz w:val="28"/>
        </w:rPr>
        <w:t>-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</w:t>
      </w:r>
    </w:p>
    <w:p w14:paraId="AD000000">
      <w:pPr>
        <w:spacing w:after="20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3. Перечень подпрограмм программы с кратким описанием подпрограмм и основных мероприятий программы</w:t>
      </w:r>
    </w:p>
    <w:tbl>
      <w:tblPr>
        <w:tblStyle w:val="Style_5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49"/>
        <w:gridCol w:w="144"/>
        <w:gridCol w:w="2691"/>
        <w:gridCol w:w="3261"/>
        <w:gridCol w:w="3686"/>
        <w:gridCol w:w="4537"/>
      </w:tblGrid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определения (формула)</w:t>
            </w:r>
          </w:p>
        </w:tc>
      </w:tr>
      <w:tr>
        <w:trPr>
          <w:trHeight w:hRule="atLeast" w:val="1006"/>
        </w:trPr>
        <w:tc>
          <w:tcPr>
            <w:tcW w:type="dxa" w:w="151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4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</w:p>
          <w:p w14:paraId="B4000000">
            <w:pPr>
              <w:pStyle w:val="Style_4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 – 2027 годы</w:t>
            </w:r>
          </w:p>
        </w:tc>
      </w:tr>
      <w:tr>
        <w:trPr>
          <w:trHeight w:hRule="atLeast" w:val="35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Цель: Уменьшение риска возникновения чрезвычайных ситуаций</w:t>
            </w:r>
          </w:p>
        </w:tc>
      </w:tr>
      <w:tr>
        <w:trPr>
          <w:trHeight w:hRule="atLeast" w:val="45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 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</w:t>
            </w:r>
          </w:p>
          <w:p w14:paraId="B9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</w:p>
          <w:p w14:paraId="B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«Содержание системы по предупреждению и ликвидации чрезвычайных ситуаций и стихийных бедствий»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rPr>
                <w:sz w:val="28"/>
              </w:rPr>
            </w:pPr>
          </w:p>
          <w:p w14:paraId="C000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C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Обеспечение деятельности ЕДДС, Системы – 112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Содержание ЕДДС, системы – 112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Скорость реагирования на ЧС,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Скорость реагирования на ЧС в текущем году/в прошлом году * 100%</w:t>
            </w:r>
          </w:p>
          <w:p w14:paraId="C700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первичных мер по пожарной безопасности</w:t>
            </w:r>
          </w:p>
          <w:p w14:paraId="CA000000">
            <w:pPr>
              <w:widowControl w:val="0"/>
              <w:ind/>
              <w:rPr>
                <w:sz w:val="28"/>
              </w:rPr>
            </w:pPr>
          </w:p>
          <w:p w14:paraId="CB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первичных мер по пожарной безопасности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количества пожаров,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количества пожаров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  <w:highlight w:val="white"/>
              </w:rPr>
              <w:t>Мероприятия по профилактике чрезвычайных ситуаций природного и техногенного характера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1.4. 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безопасности гидротехнических сооружений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Мероприятия по предотвращению аварий на </w:t>
            </w:r>
            <w:r>
              <w:rPr>
                <w:sz w:val="28"/>
              </w:rPr>
              <w:t>гидротехнических сооружениях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Мероприятие: </w:t>
            </w:r>
            <w:r>
              <w:rPr>
                <w:sz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Мероприятие по </w:t>
            </w:r>
            <w:r>
              <w:rPr>
                <w:sz w:val="28"/>
              </w:rPr>
              <w:t xml:space="preserve">оснащению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 и сокращению гибели людей при пожаре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Мероприятия по установке сирен оповещения и громкоговорящих устройств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Увеличение количества населения оповещаемого о чрезвычайных ситуациях в автоматизированном режиме,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населения оповещаемого о чрезвычайных ситуациях в автоматизированном режиме в текущем году/в прошлом году * 100%</w:t>
            </w:r>
          </w:p>
        </w:tc>
      </w:tr>
      <w:tr>
        <w:trPr>
          <w:trHeight w:hRule="atLeast" w:val="250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Оптимизация работы по предупреждению преступлений и правонарушений; Обеспечение безопасности граждан.</w:t>
            </w:r>
          </w:p>
        </w:tc>
      </w:tr>
      <w:tr>
        <w:trPr>
          <w:trHeight w:hRule="atLeast" w:val="599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 Профилактика правонарушений в Промышленновском муниципальном округе; Снижение преступлений, совершенных на улице и в общественных местах.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E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«Борьба с преступностью и профилактика правонарушений»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Проведение мероприятий по борьбе с преступностью и профилактике правонарушений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0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rPr>
                <w:b w:val="1"/>
                <w:sz w:val="28"/>
              </w:rPr>
            </w:pPr>
          </w:p>
        </w:tc>
      </w:tr>
      <w:tr>
        <w:trPr>
          <w:trHeight w:hRule="atLeast" w:val="742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E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 xml:space="preserve">Проведение мероприятий по социальной адаптации граждан после отбытия наказания в местах лишения свободы 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 в текущем году/в прошлом году * 100%</w:t>
            </w:r>
          </w:p>
        </w:tc>
      </w:tr>
      <w:tr>
        <w:trPr>
          <w:trHeight w:hRule="atLeast" w:val="356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 в текущем году/в прошлом году * 100%</w:t>
            </w:r>
          </w:p>
        </w:tc>
      </w:tr>
      <w:tr>
        <w:trPr>
          <w:trHeight w:hRule="atLeast" w:val="31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B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 в текущем году/в прошлом году * 100%</w:t>
            </w:r>
          </w:p>
        </w:tc>
      </w:tr>
      <w:tr>
        <w:trPr>
          <w:trHeight w:hRule="atLeast" w:val="59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приобретенной информационной продукции по профилактике мошеннических действий в отношении жителей округа, % 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продукции по профилактике мошеннических действий в отношении жителей округа в текущем году/в прошлом году * 100%</w:t>
            </w:r>
          </w:p>
        </w:tc>
      </w:tr>
      <w:tr>
        <w:trPr>
          <w:trHeight w:hRule="atLeast" w:val="1773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построение и внедрение АПК «Безопасный город»</w:t>
            </w:r>
          </w:p>
          <w:p w14:paraId="08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Создание инфраструктуры АПК «Безопасный город»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 в текущем году/в прошлом году * 100%</w:t>
            </w:r>
          </w:p>
        </w:tc>
      </w:tr>
      <w:tr>
        <w:trPr>
          <w:trHeight w:hRule="atLeast" w:val="261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отличительной символики, нарукавных повязок, страхование жизни и здоровья, финансовое стимулирование</w:t>
            </w:r>
          </w:p>
          <w:p w14:paraId="0F010000">
            <w:pPr>
              <w:widowControl w:val="0"/>
              <w:ind/>
              <w:rPr>
                <w:sz w:val="28"/>
              </w:rPr>
            </w:pPr>
          </w:p>
          <w:p w14:paraId="1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 в текущем году/в прошлом году * 100%</w:t>
            </w:r>
          </w:p>
        </w:tc>
      </w:tr>
      <w:tr>
        <w:trPr>
          <w:trHeight w:hRule="atLeast" w:val="102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Повышение уровня знаний в вопросах пропаганды безопасности дорожного движения, профилактики дорожно-транспортного травматизма.</w:t>
            </w:r>
          </w:p>
        </w:tc>
      </w:tr>
      <w:tr>
        <w:trPr>
          <w:trHeight w:hRule="atLeast" w:val="449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8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</w:t>
            </w:r>
            <w:r>
              <w:rPr>
                <w:rFonts w:ascii="Verdana" w:hAnsi="Verdana"/>
                <w:color w:val="4A545E"/>
                <w:sz w:val="28"/>
              </w:rPr>
              <w:t xml:space="preserve"> </w:t>
            </w:r>
            <w:r>
              <w:rPr>
                <w:sz w:val="28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19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«Безопасность дорожного движения»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дорожно-транспортного травматизма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Основное мероприятие:</w:t>
            </w:r>
          </w:p>
          <w:p w14:paraId="1F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  <w:p w14:paraId="20010000">
            <w:pPr>
              <w:widowControl w:val="0"/>
              <w:ind/>
              <w:rPr>
                <w:sz w:val="28"/>
              </w:rPr>
            </w:pPr>
          </w:p>
          <w:p w14:paraId="21010000">
            <w:pPr>
              <w:widowControl w:val="0"/>
              <w:ind/>
              <w:rPr>
                <w:sz w:val="28"/>
              </w:rPr>
            </w:pPr>
          </w:p>
          <w:p w14:paraId="22010000">
            <w:pPr>
              <w:widowControl w:val="0"/>
              <w:ind/>
              <w:rPr>
                <w:sz w:val="28"/>
              </w:rPr>
            </w:pPr>
          </w:p>
          <w:p w14:paraId="23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мероприятий по пропаганде безопасности дорожного движения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детей, погибших в результате ДТП,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детей, погибших в результате ДТП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9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конкурса по БДД</w:t>
            </w:r>
          </w:p>
          <w:p w14:paraId="2A01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 конкурсов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проведенных конкурсов, % </w:t>
            </w:r>
          </w:p>
          <w:p w14:paraId="2D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проведенных конкурсов 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Обслуживание приборов, фиксирующих нарушения ПДД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Обслуживание комплекса </w:t>
            </w:r>
          </w:p>
          <w:p w14:paraId="3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КРИС-П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Кол-во выявленных нарушений в прошлом году/на этот год,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д</w:t>
            </w:r>
            <w:r>
              <w:rPr>
                <w:sz w:val="28"/>
              </w:rPr>
              <w:t>=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 xml:space="preserve"> 100%,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Соответствие нормативно-правовой базы в области обеспечения жизнедеятельности населения требованиям законодательства,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соответствующих требованиям законодательства нормативно правовых актов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E010000">
            <w:pPr>
              <w:widowControl w:val="0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Разработка комплексной схемы организации дорожного движения Промышленновского муниципального округа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 xml:space="preserve">Цель: Координация усилий и повышение эффективности мер по противодействию </w:t>
            </w:r>
            <w:r>
              <w:rPr>
                <w:sz w:val="28"/>
              </w:rPr>
              <w:t>наркоугрозе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Задача: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 механизма и повышение эффективности проводимых мероприятий по противодействию незаконному обороту наркотических средств.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48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</w:t>
            </w:r>
          </w:p>
          <w:p w14:paraId="4901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Обеспечение эффективной профилактики распространения наркомании и связанных с ней правонарушений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0"/>
              <w:ind/>
              <w:jc w:val="both"/>
              <w:rPr>
                <w:b w:val="1"/>
                <w:sz w:val="28"/>
              </w:rPr>
            </w:pPr>
          </w:p>
        </w:tc>
      </w:tr>
      <w:tr>
        <w:trPr>
          <w:trHeight w:hRule="atLeast" w:val="105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4F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информационной и печатной продукции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продукции, %</w:t>
            </w:r>
          </w:p>
          <w:p w14:paraId="5201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53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5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районных конкурсов, презентаций, акций и других мероприятий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Проведение мероприятий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 подростками и детьми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5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C01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с подростками и детьми,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5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F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с подростками и детьми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Уничтожение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Площадь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Площадь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 в текущем году/ в прошлом году *100%</w:t>
            </w:r>
          </w:p>
        </w:tc>
      </w:tr>
      <w:tr>
        <w:trPr>
          <w:trHeight w:hRule="atLeast" w:val="146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widowControl w:val="0"/>
              <w:ind/>
              <w:jc w:val="center"/>
              <w:rPr>
                <w:sz w:val="28"/>
              </w:rPr>
            </w:pPr>
          </w:p>
          <w:p w14:paraId="66010000">
            <w:pPr>
              <w:widowControl w:val="0"/>
              <w:ind/>
              <w:rPr>
                <w:sz w:val="28"/>
              </w:rPr>
            </w:pPr>
          </w:p>
          <w:p w14:paraId="6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      </w:r>
          </w:p>
        </w:tc>
      </w:tr>
      <w:tr>
        <w:trPr>
          <w:trHeight w:hRule="atLeast" w:val="1633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Задача: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 </w:t>
            </w:r>
          </w:p>
        </w:tc>
      </w:tr>
      <w:tr>
        <w:trPr>
          <w:trHeight w:hRule="atLeast" w:val="1200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6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наглядной агитацией граждан для развития бдительности 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3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антитеррористической и </w:t>
            </w:r>
            <w:r>
              <w:rPr>
                <w:sz w:val="28"/>
              </w:rPr>
              <w:t>антиэкстремистской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стендов,  плакатов, листовок и баннеров для наглядной агитации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 эксплуатация технических средств ограждения, обеспечение охраны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F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Монтаж и обеспечение функционирования систем видеонаблюдения,</w:t>
            </w:r>
          </w:p>
          <w:p w14:paraId="81010000">
            <w:pPr>
              <w:widowControl w:val="0"/>
              <w:ind/>
              <w:rPr>
                <w:sz w:val="24"/>
              </w:rPr>
            </w:pPr>
            <w:r>
              <w:rPr>
                <w:color w:themeColor="text1" w:val="000000"/>
                <w:sz w:val="28"/>
              </w:rPr>
              <w:t>организация освещения территории, организация оповещения населения.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организацию антитеррористической безопасности объектов с массовым пребыванием людей,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Количество бюджетных ассигнований выделенных на организацию антитеррористической безопасности объектов с массовым пребыванием людей,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9"/>
              <w:widowControl w:val="0"/>
              <w:spacing w:after="300"/>
              <w:ind/>
              <w:rPr>
                <w:rFonts w:ascii="Times New Roman" w:hAnsi="Times New Roman"/>
                <w:b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8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9"/>
              <w:widowControl w:val="0"/>
              <w:ind/>
              <w:rPr>
                <w:rFonts w:ascii="Times New Roman" w:hAnsi="Times New Roman"/>
                <w:b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8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</w:t>
            </w:r>
          </w:p>
          <w:p w14:paraId="8D010000">
            <w:pPr>
              <w:widowControl w:val="0"/>
              <w:ind/>
              <w:rPr>
                <w:sz w:val="28"/>
              </w:rPr>
            </w:pPr>
          </w:p>
          <w:p w14:paraId="8E010000">
            <w:pPr>
              <w:widowControl w:val="0"/>
              <w:ind/>
              <w:rPr>
                <w:sz w:val="28"/>
              </w:rPr>
            </w:pPr>
          </w:p>
          <w:p w14:paraId="8F010000">
            <w:pPr>
              <w:widowControl w:val="0"/>
              <w:ind/>
              <w:rPr>
                <w:sz w:val="28"/>
              </w:rPr>
            </w:pPr>
          </w:p>
          <w:p w14:paraId="9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9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</w:p>
          <w:p w14:paraId="9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работы по мониторингу</w:t>
            </w:r>
          </w:p>
          <w:p w14:paraId="9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  <w:p w14:paraId="9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14:paraId="9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телекоммуникационной</w:t>
            </w:r>
          </w:p>
          <w:p w14:paraId="9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сети «Интернет» </w:t>
            </w:r>
            <w:r>
              <w:rPr>
                <w:sz w:val="28"/>
              </w:rPr>
              <w:t>в</w:t>
            </w:r>
          </w:p>
          <w:p w14:paraId="9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z w:val="28"/>
              </w:rPr>
              <w:t xml:space="preserve"> выявления</w:t>
            </w:r>
          </w:p>
          <w:p w14:paraId="9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фактов</w:t>
            </w:r>
          </w:p>
          <w:p w14:paraId="9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</w:p>
          <w:p w14:paraId="9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9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9F010000">
            <w:pPr>
              <w:widowControl w:val="0"/>
              <w:ind/>
              <w:rPr>
                <w:rFonts w:ascii="YS Text" w:hAnsi="YS Text"/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Приобретение организационной техники, 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  <w:highlight w:val="white"/>
              </w:rPr>
              <w:t>рганизация доступа к сети Интернет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A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A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A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A5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A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A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A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AA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 в текущем году/в прошлом году * 100%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</w:tbl>
    <w:p w14:paraId="AB010000">
      <w:pPr>
        <w:widowControl w:val="0"/>
        <w:ind/>
        <w:jc w:val="center"/>
        <w:outlineLvl w:val="1"/>
        <w:rPr>
          <w:b w:val="1"/>
          <w:sz w:val="28"/>
        </w:rPr>
      </w:pPr>
    </w:p>
    <w:p w14:paraId="AC010000">
      <w:pPr>
        <w:widowControl w:val="0"/>
        <w:ind/>
        <w:jc w:val="center"/>
        <w:outlineLvl w:val="1"/>
        <w:rPr>
          <w:b w:val="1"/>
          <w:sz w:val="28"/>
        </w:rPr>
      </w:pPr>
    </w:p>
    <w:p w14:paraId="AD010000">
      <w:pPr>
        <w:widowControl w:val="0"/>
        <w:ind/>
        <w:jc w:val="center"/>
        <w:outlineLvl w:val="1"/>
        <w:rPr>
          <w:b w:val="1"/>
          <w:sz w:val="28"/>
        </w:rPr>
      </w:pPr>
    </w:p>
    <w:p w14:paraId="AE010000">
      <w:pPr>
        <w:widowControl w:val="0"/>
        <w:ind/>
        <w:jc w:val="center"/>
        <w:outlineLvl w:val="1"/>
        <w:rPr>
          <w:b w:val="1"/>
          <w:sz w:val="28"/>
        </w:rPr>
      </w:pPr>
    </w:p>
    <w:p w14:paraId="AF010000">
      <w:pPr>
        <w:widowControl w:val="0"/>
        <w:ind/>
        <w:jc w:val="center"/>
        <w:outlineLvl w:val="1"/>
        <w:rPr>
          <w:b w:val="1"/>
          <w:sz w:val="28"/>
        </w:rPr>
      </w:pPr>
    </w:p>
    <w:p w14:paraId="B0010000">
      <w:pPr>
        <w:widowControl w:val="0"/>
        <w:ind/>
        <w:jc w:val="center"/>
        <w:outlineLvl w:val="1"/>
        <w:rPr>
          <w:b w:val="1"/>
          <w:sz w:val="28"/>
        </w:rPr>
      </w:pPr>
    </w:p>
    <w:p w14:paraId="B1010000">
      <w:pPr>
        <w:widowControl w:val="0"/>
        <w:ind/>
        <w:jc w:val="center"/>
        <w:outlineLvl w:val="1"/>
        <w:rPr>
          <w:b w:val="1"/>
          <w:sz w:val="28"/>
        </w:rPr>
      </w:pPr>
    </w:p>
    <w:p w14:paraId="B2010000">
      <w:pPr>
        <w:widowControl w:val="0"/>
        <w:ind/>
        <w:jc w:val="center"/>
        <w:outlineLvl w:val="1"/>
        <w:rPr>
          <w:b w:val="1"/>
          <w:sz w:val="28"/>
        </w:rPr>
      </w:pPr>
    </w:p>
    <w:p w14:paraId="B3010000">
      <w:pPr>
        <w:widowControl w:val="0"/>
        <w:ind/>
        <w:jc w:val="center"/>
        <w:outlineLvl w:val="1"/>
        <w:rPr>
          <w:b w:val="1"/>
          <w:sz w:val="28"/>
        </w:rPr>
      </w:pPr>
    </w:p>
    <w:p w14:paraId="B4010000">
      <w:pPr>
        <w:widowControl w:val="0"/>
        <w:ind/>
        <w:jc w:val="center"/>
        <w:outlineLvl w:val="1"/>
        <w:rPr>
          <w:b w:val="1"/>
          <w:sz w:val="28"/>
        </w:rPr>
      </w:pPr>
    </w:p>
    <w:p w14:paraId="B5010000">
      <w:pPr>
        <w:widowControl w:val="0"/>
        <w:ind/>
        <w:jc w:val="center"/>
        <w:outlineLvl w:val="1"/>
        <w:rPr>
          <w:b w:val="1"/>
          <w:sz w:val="28"/>
        </w:rPr>
      </w:pPr>
    </w:p>
    <w:p w14:paraId="B6010000">
      <w:pPr>
        <w:widowControl w:val="0"/>
        <w:ind/>
        <w:jc w:val="center"/>
        <w:outlineLvl w:val="1"/>
        <w:rPr>
          <w:b w:val="1"/>
          <w:sz w:val="28"/>
        </w:rPr>
      </w:pPr>
    </w:p>
    <w:p w14:paraId="B7010000">
      <w:pPr>
        <w:widowControl w:val="0"/>
        <w:ind/>
        <w:jc w:val="center"/>
        <w:outlineLvl w:val="1"/>
        <w:rPr>
          <w:b w:val="1"/>
          <w:sz w:val="28"/>
        </w:rPr>
      </w:pPr>
    </w:p>
    <w:p w14:paraId="B8010000">
      <w:pPr>
        <w:widowControl w:val="0"/>
        <w:ind/>
        <w:jc w:val="center"/>
        <w:outlineLvl w:val="1"/>
        <w:rPr>
          <w:b w:val="1"/>
          <w:sz w:val="28"/>
        </w:rPr>
      </w:pPr>
    </w:p>
    <w:p w14:paraId="B9010000">
      <w:pPr>
        <w:widowControl w:val="0"/>
        <w:ind/>
        <w:jc w:val="center"/>
        <w:outlineLvl w:val="1"/>
        <w:rPr>
          <w:b w:val="1"/>
          <w:sz w:val="28"/>
        </w:rPr>
      </w:pPr>
    </w:p>
    <w:p w14:paraId="BA010000">
      <w:pPr>
        <w:widowControl w:val="0"/>
        <w:ind/>
        <w:jc w:val="center"/>
        <w:outlineLvl w:val="1"/>
        <w:rPr>
          <w:b w:val="1"/>
          <w:sz w:val="28"/>
        </w:rPr>
      </w:pPr>
    </w:p>
    <w:p w14:paraId="BB010000">
      <w:pPr>
        <w:widowControl w:val="0"/>
        <w:ind/>
        <w:jc w:val="center"/>
        <w:outlineLvl w:val="1"/>
        <w:rPr>
          <w:b w:val="1"/>
          <w:sz w:val="28"/>
        </w:rPr>
      </w:pPr>
    </w:p>
    <w:p w14:paraId="BC010000">
      <w:pPr>
        <w:widowControl w:val="0"/>
        <w:ind/>
        <w:jc w:val="center"/>
        <w:outlineLvl w:val="1"/>
        <w:rPr>
          <w:b w:val="1"/>
          <w:sz w:val="28"/>
        </w:rPr>
      </w:pPr>
    </w:p>
    <w:p w14:paraId="BD010000">
      <w:pPr>
        <w:widowControl w:val="0"/>
        <w:ind/>
        <w:jc w:val="center"/>
        <w:outlineLvl w:val="1"/>
        <w:rPr>
          <w:b w:val="1"/>
          <w:sz w:val="28"/>
        </w:rPr>
      </w:pPr>
    </w:p>
    <w:p w14:paraId="BE010000">
      <w:pPr>
        <w:widowControl w:val="0"/>
        <w:ind/>
        <w:jc w:val="center"/>
        <w:outlineLvl w:val="1"/>
        <w:rPr>
          <w:b w:val="1"/>
          <w:sz w:val="28"/>
        </w:rPr>
      </w:pPr>
    </w:p>
    <w:p w14:paraId="BF010000">
      <w:pPr>
        <w:widowControl w:val="0"/>
        <w:ind/>
        <w:outlineLvl w:val="1"/>
        <w:rPr>
          <w:b w:val="1"/>
          <w:sz w:val="28"/>
        </w:rPr>
      </w:pPr>
    </w:p>
    <w:p w14:paraId="C0010000">
      <w:pPr>
        <w:widowControl w:val="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4. Ресурсное обеспечение реализации</w:t>
      </w:r>
    </w:p>
    <w:p w14:paraId="C101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муниципальной программы</w:t>
      </w:r>
    </w:p>
    <w:p w14:paraId="C2010000">
      <w:pPr>
        <w:rPr>
          <w:sz w:val="28"/>
        </w:rPr>
      </w:pPr>
    </w:p>
    <w:p w14:paraId="C3010000">
      <w:pPr>
        <w:ind/>
        <w:jc w:val="center"/>
        <w:rPr>
          <w:sz w:val="28"/>
        </w:rPr>
      </w:pPr>
      <w:r>
        <w:rPr>
          <w:sz w:val="28"/>
        </w:rPr>
        <w:t>Ресурсное обеспечение реализации программы</w:t>
      </w:r>
    </w:p>
    <w:p w14:paraId="C4010000">
      <w:pPr>
        <w:ind/>
        <w:jc w:val="center"/>
        <w:rPr>
          <w:sz w:val="28"/>
        </w:rPr>
      </w:pPr>
      <w:r>
        <w:rPr>
          <w:sz w:val="28"/>
        </w:rPr>
        <w:t>«Обеспечение безопасности жизнедеятельности населения и предприятий в Промышленновском муниципальном округе»</w:t>
      </w:r>
    </w:p>
    <w:p w14:paraId="C5010000">
      <w:pPr>
        <w:ind/>
        <w:jc w:val="center"/>
        <w:rPr>
          <w:sz w:val="28"/>
        </w:rPr>
      </w:pPr>
      <w:r>
        <w:rPr>
          <w:sz w:val="28"/>
        </w:rPr>
        <w:t>на 2018-2027 годы</w:t>
      </w:r>
    </w:p>
    <w:tbl>
      <w:tblPr>
        <w:tblStyle w:val="Style_5"/>
        <w:tblLayout w:type="fixed"/>
      </w:tblPr>
      <w:tblGrid>
        <w:gridCol w:w="607"/>
        <w:gridCol w:w="2157"/>
        <w:gridCol w:w="1385"/>
        <w:gridCol w:w="1061"/>
        <w:gridCol w:w="995"/>
        <w:gridCol w:w="1133"/>
        <w:gridCol w:w="1133"/>
        <w:gridCol w:w="1135"/>
        <w:gridCol w:w="1134"/>
        <w:gridCol w:w="1275"/>
        <w:gridCol w:w="1276"/>
        <w:gridCol w:w="992"/>
        <w:gridCol w:w="991"/>
      </w:tblGrid>
      <w:tr>
        <w:trPr>
          <w:trHeight w:hRule="atLeast" w:val="73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0"/>
              <w:ind w:firstLine="426" w:left="-42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C7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3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  <w:p w14:paraId="CA010000">
            <w:pPr>
              <w:widowControl w:val="0"/>
              <w:ind/>
              <w:rPr>
                <w:sz w:val="24"/>
              </w:rPr>
            </w:pPr>
          </w:p>
          <w:p w14:paraId="CB010000">
            <w:pPr>
              <w:widowControl w:val="0"/>
              <w:tabs>
                <w:tab w:leader="none" w:pos="90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type="dxa" w:w="1112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финансовых ресурсов, тыс. рублей</w:t>
            </w:r>
          </w:p>
        </w:tc>
      </w:tr>
      <w:tr>
        <w:trPr>
          <w:trHeight w:hRule="atLeast" w:val="31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2022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ind/>
              <w:jc w:val="both"/>
              <w:rPr>
                <w:sz w:val="24"/>
              </w:rPr>
            </w:pP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«</w:t>
            </w:r>
            <w:r>
              <w:rPr>
                <w:sz w:val="24"/>
              </w:rPr>
              <w:t>Обеспечение безопасности жизнедеятельности населения и предприятий в Промышленновском муниципальном округе» на 2018 - 2026 годы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2457,2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2594,4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4403,1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3517,6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8634,0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76007,5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49117,4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37943,7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2457,2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2594,4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4403,1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3517,6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8634,0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9600,9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10605,2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12</w:t>
            </w:r>
            <w:r>
              <w:rPr>
                <w:color w:themeColor="text1" w:val="000000"/>
                <w:sz w:val="24"/>
              </w:rPr>
              <w:t>608,</w:t>
            </w:r>
            <w:r>
              <w:rPr>
                <w:color w:themeColor="text1" w:val="000000"/>
                <w:sz w:val="24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66406,6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38512,2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</w:t>
            </w:r>
            <w:r>
              <w:rPr>
                <w:color w:themeColor="text1" w:val="000000"/>
                <w:sz w:val="24"/>
              </w:rPr>
              <w:t>335,7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Подпрограмма: «Содержание системы по предупреждению и ликвидации чрезвычайных ситуаций и стихийных бедствий»</w:t>
            </w:r>
          </w:p>
          <w:p w14:paraId="FC010000">
            <w:pPr>
              <w:widowControl w:val="0"/>
              <w:ind/>
              <w:rPr>
                <w:sz w:val="24"/>
              </w:rPr>
            </w:pPr>
          </w:p>
          <w:p w14:paraId="FD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2337,5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3682,5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3270,4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74803,9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47838,2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z w:val="24"/>
              </w:rPr>
              <w:t>218,</w:t>
            </w:r>
            <w:r>
              <w:rPr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10256,0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10256,0</w:t>
            </w:r>
          </w:p>
        </w:tc>
      </w:tr>
      <w:tr>
        <w:trPr>
          <w:trHeight w:hRule="atLeast" w:val="28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2337,5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3682,5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3270,4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8397,3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0"/>
              <w:ind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9326,0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11882,8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10256,0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10256,0</w:t>
            </w:r>
          </w:p>
        </w:tc>
      </w:tr>
      <w:tr>
        <w:trPr>
          <w:trHeight w:hRule="atLeast" w:val="3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66406,6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38512,2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25335,7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6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ЕДДС, Системы – 112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2253,2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2129,7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2709,1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3068,9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3123,1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3913,7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9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5574,3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</w:tr>
      <w:tr>
        <w:trPr>
          <w:trHeight w:hRule="atLeast" w:val="40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2253,2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2129,7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2709,1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3068,9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3123,1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3913,7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34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5574,3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</w:tr>
      <w:tr>
        <w:trPr>
          <w:trHeight w:hRule="atLeast" w:val="217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Мероприятие: Обеспечение первичных мер по пожарной безопасности 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1053,8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410,6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954,8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1053,8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410,6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954,8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0"/>
              <w:ind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716,2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499,0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1621,3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2642,7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3138,7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4360,0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4360,0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499,0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1621,3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2642,7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3138,7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2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4360,0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4360,0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Обеспечение безопасности гидротехнических сооружений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875,0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1177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875,0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1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 и (или) датчиками (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 и (или) датчиками (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>) угарного газа»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3180,8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581,9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3180,8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581,9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    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65181,2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39278,5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25519,</w:t>
            </w:r>
            <w:r>
              <w:rPr>
                <w:color w:themeColor="text1" w:val="000000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1955,4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1178,4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765,</w:t>
            </w:r>
            <w:r>
              <w:rPr>
                <w:color w:themeColor="text1" w:val="000000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63225,8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38100,1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24753,8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    «Борьба с преступностью и профилактика правонарушений»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    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169,8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452,7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584,3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169,8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452,7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584,3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</w:tr>
      <w:tr>
        <w:trPr>
          <w:trHeight w:hRule="atLeast" w:val="29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0"/>
              <w:ind/>
              <w:rPr>
                <w:sz w:val="28"/>
              </w:rPr>
            </w:pPr>
            <w:r>
              <w:rPr>
                <w:sz w:val="24"/>
              </w:rPr>
              <w:t xml:space="preserve">Мероприятие: </w:t>
            </w:r>
          </w:p>
          <w:p w14:paraId="D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F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информационной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>
        <w:trPr>
          <w:trHeight w:hRule="atLeast" w:val="39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11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отдыха в детских 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hRule="atLeast" w:val="41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hRule="atLeast" w:val="39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2A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41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14:paraId="37030000">
            <w:pPr>
              <w:widowControl w:val="0"/>
              <w:ind/>
              <w:rPr>
                <w:sz w:val="24"/>
              </w:rPr>
            </w:pPr>
          </w:p>
          <w:p w14:paraId="38030000">
            <w:pPr>
              <w:widowControl w:val="0"/>
              <w:ind/>
              <w:rPr>
                <w:sz w:val="24"/>
              </w:rPr>
            </w:pPr>
          </w:p>
          <w:p w14:paraId="39030000">
            <w:pPr>
              <w:widowControl w:val="0"/>
              <w:ind/>
              <w:rPr>
                <w:sz w:val="24"/>
              </w:rPr>
            </w:pPr>
          </w:p>
          <w:p w14:paraId="3A03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26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4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построение и внедрение АПК «Безопасный город»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601,9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</w:tr>
      <w:tr>
        <w:trPr>
          <w:trHeight w:hRule="atLeast" w:val="36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601,9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</w:tr>
      <w:tr>
        <w:trPr>
          <w:trHeight w:hRule="atLeast" w:val="32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239,3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262,3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</w:tr>
      <w:tr>
        <w:trPr>
          <w:trHeight w:hRule="atLeast" w:val="58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239,3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262,3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</w:t>
            </w:r>
          </w:p>
          <w:p w14:paraId="7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«Безопасность дорожного движения»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383,5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hRule="atLeast" w:val="306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383,5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hRule="atLeast" w:val="28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91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</w:tr>
      <w:tr>
        <w:trPr>
          <w:trHeight w:hRule="atLeast" w:val="30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AA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>
        <w:trPr>
          <w:trHeight w:hRule="atLeast" w:val="26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>
        <w:trPr>
          <w:trHeight w:hRule="atLeast" w:val="25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Обслуживание приборов фиксирующих </w:t>
            </w:r>
          </w:p>
          <w:p w14:paraId="C3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нарушения ПДД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82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6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1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Разработка комплексной схемы организации дорожного движения Промышленновского муниципального округа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51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29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</w:t>
            </w:r>
          </w:p>
          <w:p w14:paraId="0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84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25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Приобретение информационной продукции </w:t>
            </w:r>
            <w:r>
              <w:rPr>
                <w:sz w:val="24"/>
              </w:rPr>
              <w:t>антинаркотической</w:t>
            </w:r>
            <w:r>
              <w:rPr>
                <w:sz w:val="24"/>
              </w:rPr>
              <w:t xml:space="preserve"> направленности</w:t>
            </w:r>
          </w:p>
          <w:p w14:paraId="26040000">
            <w:pPr>
              <w:widowControl w:val="0"/>
              <w:ind/>
              <w:rPr>
                <w:sz w:val="24"/>
              </w:rPr>
            </w:pPr>
          </w:p>
          <w:p w14:paraId="2704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40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конкурсов, презентаций, акций и других мероприятий </w:t>
            </w:r>
            <w:r>
              <w:rPr>
                <w:sz w:val="24"/>
              </w:rPr>
              <w:t>антинаркотической</w:t>
            </w:r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14:paraId="6504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28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Подпрограмма:</w:t>
            </w:r>
          </w:p>
          <w:p w14:paraId="72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«Антитеррор»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710,1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>
        <w:trPr>
          <w:trHeight w:hRule="atLeast" w:val="33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710,1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>
        <w:trPr>
          <w:trHeight w:hRule="atLeast" w:val="28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8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Приобретение информационной продукции антитеррористической и </w:t>
            </w:r>
            <w:r>
              <w:rPr>
                <w:sz w:val="24"/>
              </w:rPr>
              <w:t>антиэкстремистской</w:t>
            </w:r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A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415,9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415,9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B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512,9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512,9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5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5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06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</w:p>
          <w:p w14:paraId="07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работы по мониторингу</w:t>
            </w:r>
          </w:p>
          <w:p w14:paraId="08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  <w:p w14:paraId="09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14:paraId="0A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</w:p>
          <w:p w14:paraId="0B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сети «Интернет» </w:t>
            </w:r>
            <w:r>
              <w:rPr>
                <w:sz w:val="24"/>
              </w:rPr>
              <w:t>в</w:t>
            </w:r>
          </w:p>
          <w:p w14:paraId="0C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целях</w:t>
            </w:r>
            <w:r>
              <w:rPr>
                <w:sz w:val="24"/>
              </w:rPr>
              <w:t xml:space="preserve"> выявления</w:t>
            </w:r>
          </w:p>
          <w:p w14:paraId="0D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фактов</w:t>
            </w:r>
          </w:p>
          <w:p w14:paraId="0E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</w:p>
          <w:p w14:paraId="0F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идеологии экстремизма,</w:t>
            </w:r>
          </w:p>
          <w:p w14:paraId="10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экстремистских</w:t>
            </w:r>
          </w:p>
          <w:p w14:paraId="1105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5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28050000">
      <w:pPr>
        <w:ind/>
        <w:jc w:val="center"/>
        <w:rPr>
          <w:sz w:val="28"/>
        </w:rPr>
      </w:pPr>
    </w:p>
    <w:p w14:paraId="29050000">
      <w:pPr>
        <w:rPr>
          <w:sz w:val="28"/>
        </w:rPr>
      </w:pPr>
    </w:p>
    <w:p w14:paraId="2A050000">
      <w:pPr>
        <w:rPr>
          <w:sz w:val="28"/>
        </w:rPr>
      </w:pPr>
    </w:p>
    <w:tbl>
      <w:tblPr>
        <w:tblStyle w:val="Style_5"/>
        <w:tblInd w:type="dxa" w:w="250"/>
        <w:tblLayout w:type="fixed"/>
      </w:tblPr>
      <w:tblGrid>
        <w:gridCol w:w="8046"/>
        <w:gridCol w:w="5558"/>
      </w:tblGrid>
      <w:tr>
        <w:trPr>
          <w:trHeight w:hRule="atLeast" w:val="320"/>
        </w:trPr>
        <w:tc>
          <w:tcPr>
            <w:tcW w:type="dxa" w:w="8046"/>
          </w:tcPr>
          <w:p w14:paraId="2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2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8046"/>
          </w:tcPr>
          <w:p w14:paraId="2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2E05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</w:tr>
      <w:tr>
        <w:trPr>
          <w:trHeight w:hRule="atLeast" w:val="320"/>
        </w:trPr>
        <w:tc>
          <w:tcPr>
            <w:tcW w:type="dxa" w:w="8046"/>
          </w:tcPr>
          <w:p w14:paraId="2F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5558"/>
          </w:tcPr>
          <w:p w14:paraId="3005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</w:p>
        </w:tc>
      </w:tr>
    </w:tbl>
    <w:p w14:paraId="31050000">
      <w:pPr>
        <w:pStyle w:val="Style_1"/>
        <w:rPr>
          <w:sz w:val="28"/>
        </w:rPr>
      </w:pPr>
    </w:p>
    <w:p w14:paraId="32050000">
      <w:pPr>
        <w:pStyle w:val="Style_1"/>
        <w:rPr>
          <w:sz w:val="28"/>
        </w:rPr>
      </w:pPr>
    </w:p>
    <w:p w14:paraId="33050000">
      <w:pPr>
        <w:pStyle w:val="Style_1"/>
        <w:rPr>
          <w:sz w:val="28"/>
        </w:rPr>
      </w:pPr>
    </w:p>
    <w:p w14:paraId="34050000">
      <w:pPr>
        <w:pStyle w:val="Style_1"/>
        <w:rPr>
          <w:sz w:val="28"/>
        </w:rPr>
      </w:pPr>
    </w:p>
    <w:p w14:paraId="35050000">
      <w:pPr>
        <w:pStyle w:val="Style_1"/>
        <w:rPr>
          <w:sz w:val="28"/>
        </w:rPr>
      </w:pPr>
    </w:p>
    <w:p w14:paraId="36050000">
      <w:pPr>
        <w:pStyle w:val="Style_1"/>
        <w:rPr>
          <w:sz w:val="28"/>
        </w:rPr>
      </w:pPr>
    </w:p>
    <w:p w14:paraId="37050000">
      <w:pPr>
        <w:pStyle w:val="Style_1"/>
        <w:rPr>
          <w:sz w:val="28"/>
        </w:rPr>
      </w:pPr>
    </w:p>
    <w:p w14:paraId="38050000">
      <w:pPr>
        <w:pStyle w:val="Style_1"/>
        <w:rPr>
          <w:sz w:val="28"/>
        </w:rPr>
      </w:pPr>
    </w:p>
    <w:p w14:paraId="39050000">
      <w:pPr>
        <w:pStyle w:val="Style_1"/>
        <w:rPr>
          <w:sz w:val="28"/>
        </w:rPr>
      </w:pPr>
    </w:p>
    <w:p w14:paraId="3A050000">
      <w:pPr>
        <w:pStyle w:val="Style_1"/>
        <w:rPr>
          <w:sz w:val="28"/>
        </w:rPr>
      </w:pPr>
    </w:p>
    <w:p w14:paraId="3B050000">
      <w:pPr>
        <w:pStyle w:val="Style_1"/>
        <w:rPr>
          <w:sz w:val="28"/>
        </w:rPr>
      </w:pPr>
    </w:p>
    <w:p w14:paraId="3C050000">
      <w:pPr>
        <w:pStyle w:val="Style_1"/>
        <w:rPr>
          <w:sz w:val="28"/>
        </w:rPr>
      </w:pPr>
    </w:p>
    <w:p w14:paraId="3D050000">
      <w:pPr>
        <w:pStyle w:val="Style_1"/>
        <w:rPr>
          <w:sz w:val="28"/>
        </w:rPr>
      </w:pPr>
    </w:p>
    <w:p w14:paraId="3E05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5. Сведения о планируемых значениях целевых показателей</w:t>
      </w:r>
    </w:p>
    <w:p w14:paraId="3F050000">
      <w:pPr>
        <w:ind w:firstLine="540" w:left="0"/>
        <w:jc w:val="center"/>
        <w:rPr>
          <w:b w:val="1"/>
          <w:sz w:val="28"/>
        </w:rPr>
      </w:pPr>
      <w:r>
        <w:rPr>
          <w:b w:val="1"/>
          <w:sz w:val="28"/>
        </w:rPr>
        <w:t>(индикаторов) муниципальной программы</w:t>
      </w:r>
    </w:p>
    <w:p w14:paraId="40050000">
      <w:pPr>
        <w:widowControl w:val="0"/>
        <w:ind w:firstLine="0" w:left="7088"/>
        <w:rPr>
          <w:sz w:val="28"/>
        </w:rPr>
      </w:pPr>
    </w:p>
    <w:p w14:paraId="4105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 о планируемых значениях целевых</w:t>
      </w:r>
    </w:p>
    <w:p w14:paraId="42050000">
      <w:pPr>
        <w:widowControl w:val="0"/>
        <w:ind/>
        <w:jc w:val="center"/>
        <w:rPr>
          <w:sz w:val="28"/>
        </w:rPr>
      </w:pPr>
      <w:r>
        <w:rPr>
          <w:sz w:val="28"/>
        </w:rPr>
        <w:t>показателей (индикаторов) муниципальной программы</w:t>
      </w:r>
    </w:p>
    <w:p w14:paraId="43050000">
      <w:pPr>
        <w:pStyle w:val="Style_4"/>
        <w:ind/>
        <w:jc w:val="center"/>
        <w:rPr>
          <w:sz w:val="28"/>
        </w:rPr>
      </w:pPr>
      <w:r>
        <w:rPr>
          <w:sz w:val="28"/>
        </w:rPr>
        <w:t>«Обеспечение безопасности жизнедеятельности населения и предприятий в Промышленновском муниципальном округе» на 2018 - 2027 годы</w:t>
      </w:r>
    </w:p>
    <w:p w14:paraId="44050000">
      <w:pPr>
        <w:pStyle w:val="Style_4"/>
        <w:ind/>
        <w:jc w:val="center"/>
        <w:rPr>
          <w:sz w:val="28"/>
        </w:rPr>
      </w:pPr>
    </w:p>
    <w:p w14:paraId="45050000">
      <w:pPr>
        <w:pStyle w:val="Style_4"/>
        <w:ind/>
        <w:jc w:val="center"/>
        <w:rPr>
          <w:sz w:val="28"/>
        </w:rPr>
      </w:pPr>
    </w:p>
    <w:tbl>
      <w:tblPr>
        <w:tblStyle w:val="Style_5"/>
        <w:tblLayout w:type="fixed"/>
      </w:tblPr>
      <w:tblGrid>
        <w:gridCol w:w="817"/>
        <w:gridCol w:w="2410"/>
        <w:gridCol w:w="1985"/>
        <w:gridCol w:w="1559"/>
        <w:gridCol w:w="851"/>
        <w:gridCol w:w="992"/>
        <w:gridCol w:w="992"/>
        <w:gridCol w:w="850"/>
        <w:gridCol w:w="992"/>
        <w:gridCol w:w="851"/>
        <w:gridCol w:w="851"/>
        <w:gridCol w:w="851"/>
        <w:gridCol w:w="851"/>
        <w:gridCol w:w="849"/>
      </w:tblGrid>
      <w:tr>
        <w:trPr>
          <w:trHeight w:hRule="atLeast" w:val="706"/>
        </w:trPr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4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893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4C05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443"/>
        </w:trP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50000">
            <w:pPr>
              <w:widowControl w:val="0"/>
              <w:spacing w:line="276" w:lineRule="auto"/>
              <w:ind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50000">
            <w:pPr>
              <w:pStyle w:val="Style_4"/>
              <w:widowControl w:val="0"/>
              <w:spacing w:before="120"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 программа</w:t>
            </w:r>
          </w:p>
          <w:p w14:paraId="67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2018 - 2027 годы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5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97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«Содержание системы по предупреждению и ликвидации чрезвычайных ситуаций и стихийных бедствий»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5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2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  <w:p w14:paraId="8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ЕДДС, Системы – 112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Скорость реагирования на ЧС, %</w:t>
            </w:r>
          </w:p>
          <w:p w14:paraId="8F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9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A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первичных мер по пожарной безопасности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мероприятий</w:t>
            </w:r>
          </w:p>
          <w:p w14:paraId="A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z w:val="28"/>
              </w:rPr>
              <w:t xml:space="preserve"> на обеспечение пожарной безопасности, %</w:t>
            </w:r>
          </w:p>
          <w:p w14:paraId="A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A4050000">
            <w:pPr>
              <w:widowControl w:val="0"/>
              <w:ind/>
              <w:rPr>
                <w:sz w:val="28"/>
              </w:rPr>
            </w:pPr>
          </w:p>
          <w:p w14:paraId="A5050000">
            <w:pPr>
              <w:widowControl w:val="0"/>
              <w:ind/>
              <w:rPr>
                <w:sz w:val="28"/>
              </w:rPr>
            </w:pPr>
          </w:p>
          <w:p w14:paraId="A6050000">
            <w:pPr>
              <w:widowControl w:val="0"/>
              <w:ind/>
              <w:rPr>
                <w:sz w:val="28"/>
              </w:rPr>
            </w:pPr>
          </w:p>
          <w:p w14:paraId="A7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B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Участие в предупреждении и ликвидации чрезвычайных ситуаций</w:t>
            </w:r>
          </w:p>
          <w:p w14:paraId="B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природного и техногенного характера,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C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безопасности гидротехнических сооружений</w:t>
            </w:r>
          </w:p>
          <w:p w14:paraId="C4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D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Мероприятие: </w:t>
            </w:r>
            <w:r>
              <w:rPr>
                <w:sz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газа»</w:t>
            </w:r>
          </w:p>
          <w:p w14:paraId="D3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E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E1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Увеличение количества населения оповещаемого о чрезвычайных ситуациях в автоматизированном режиме,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5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5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</w:tr>
      <w:tr>
        <w:trPr>
          <w:trHeight w:hRule="atLeast" w:val="1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«Борьба с преступностью и профилактика правонарушений»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widowControl w:val="0"/>
              <w:ind/>
              <w:jc w:val="both"/>
              <w:rPr>
                <w:sz w:val="28"/>
              </w:rPr>
            </w:pPr>
          </w:p>
          <w:p w14:paraId="F105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50000">
            <w:pPr>
              <w:widowControl w:val="0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</w:tr>
      <w:tr>
        <w:trPr>
          <w:trHeight w:hRule="atLeast" w:val="126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0206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03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3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10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приобретения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1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A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117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7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6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  <w:p w14:paraId="37060000">
            <w:pPr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продукции по профилактике мошеннических действий в отношении жителей округа,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46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Построение и внедрение АПК «Безопасный город»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город», %</w:t>
            </w:r>
          </w:p>
          <w:p w14:paraId="48060000">
            <w:pPr>
              <w:widowControl w:val="0"/>
              <w:ind/>
              <w:jc w:val="both"/>
              <w:rPr>
                <w:sz w:val="28"/>
              </w:rPr>
            </w:pPr>
          </w:p>
          <w:p w14:paraId="49060000">
            <w:pPr>
              <w:widowControl w:val="0"/>
              <w:ind/>
              <w:jc w:val="both"/>
              <w:rPr>
                <w:sz w:val="28"/>
              </w:rPr>
            </w:pPr>
          </w:p>
          <w:p w14:paraId="4A060000">
            <w:pPr>
              <w:widowControl w:val="0"/>
              <w:ind/>
              <w:jc w:val="both"/>
              <w:rPr>
                <w:sz w:val="28"/>
              </w:rPr>
            </w:pPr>
          </w:p>
          <w:p w14:paraId="4B060000">
            <w:pPr>
              <w:widowControl w:val="0"/>
              <w:ind/>
              <w:jc w:val="both"/>
              <w:rPr>
                <w:sz w:val="28"/>
              </w:rPr>
            </w:pPr>
          </w:p>
          <w:p w14:paraId="4C06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3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14:paraId="6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6806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69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</w:p>
          <w:p w14:paraId="6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«Безопасность дорожного движения»</w:t>
            </w:r>
          </w:p>
          <w:p w14:paraId="6C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widowControl w:val="0"/>
              <w:ind/>
              <w:jc w:val="both"/>
              <w:rPr>
                <w:sz w:val="28"/>
              </w:rPr>
            </w:pPr>
          </w:p>
          <w:p w14:paraId="6E060000">
            <w:pPr>
              <w:widowControl w:val="0"/>
              <w:ind/>
              <w:jc w:val="both"/>
              <w:rPr>
                <w:sz w:val="28"/>
              </w:rPr>
            </w:pPr>
          </w:p>
          <w:p w14:paraId="6F06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50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  <w:p w14:paraId="7C060000">
            <w:pPr>
              <w:widowControl w:val="0"/>
              <w:spacing w:line="276" w:lineRule="auto"/>
              <w:ind/>
              <w:rPr>
                <w:b w:val="1"/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  <w:p w14:paraId="7E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детей, погибших в результате ДТП,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конкурса по БДД</w:t>
            </w:r>
          </w:p>
          <w:p w14:paraId="8D06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проведенных конкурсов, %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Обслуживание приборов фиксирующих нарушения ПДД</w:t>
            </w:r>
          </w:p>
          <w:p w14:paraId="9C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Кол-во выявленных нарушений,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A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Соответствие нормативно-правовой базы в области обеспечения жизнедеятельности населения требованиям законодательства, %</w:t>
            </w:r>
          </w:p>
          <w:p w14:paraId="AD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6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«Комплексные меры противодействия злоупотреблению наркотиками  и их незаконному обороту»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3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  <w:p w14:paraId="C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C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96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D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районных конкурсов, презентаций, акций и других мероприятий </w:t>
            </w:r>
            <w:r>
              <w:rPr>
                <w:sz w:val="28"/>
              </w:rPr>
              <w:t>антинаркотичес</w:t>
            </w:r>
            <w:r>
              <w:rPr>
                <w:sz w:val="28"/>
              </w:rPr>
              <w:t xml:space="preserve"> кой </w:t>
            </w:r>
            <w:r>
              <w:rPr>
                <w:sz w:val="28"/>
              </w:rPr>
              <w:t>направленнос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D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D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 подростками и детьми,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96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</w:tr>
      <w:tr>
        <w:trPr>
          <w:trHeight w:hRule="atLeast" w:val="59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«Антитеррор»</w:t>
            </w:r>
          </w:p>
          <w:p w14:paraId="F8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0"/>
              <w:ind/>
              <w:rPr>
                <w:sz w:val="28"/>
              </w:rPr>
            </w:pPr>
          </w:p>
          <w:p w14:paraId="FA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70000">
            <w:pPr>
              <w:widowControl w:val="0"/>
              <w:spacing w:line="276" w:lineRule="auto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антитеррористической и направленности</w:t>
            </w:r>
          </w:p>
          <w:p w14:paraId="0907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7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1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7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707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бюджетных ассигнований выделенных на организацию антитеррористической безопасности объектов с массовым пребыванием </w:t>
            </w:r>
          </w:p>
          <w:p w14:paraId="2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людей, %</w:t>
            </w:r>
          </w:p>
          <w:p w14:paraId="2A070000">
            <w:pPr>
              <w:widowControl w:val="0"/>
              <w:ind/>
              <w:rPr>
                <w:sz w:val="28"/>
              </w:rPr>
            </w:pPr>
          </w:p>
          <w:p w14:paraId="2B07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89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89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55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</w:p>
          <w:p w14:paraId="56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работы по мониторингу</w:t>
            </w:r>
          </w:p>
          <w:p w14:paraId="5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  <w:p w14:paraId="5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14:paraId="5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телекоммуникационной</w:t>
            </w:r>
          </w:p>
          <w:p w14:paraId="5A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сети «Интернет» </w:t>
            </w:r>
            <w:r>
              <w:rPr>
                <w:sz w:val="28"/>
              </w:rPr>
              <w:t>в</w:t>
            </w:r>
          </w:p>
          <w:p w14:paraId="5B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z w:val="28"/>
              </w:rPr>
              <w:t xml:space="preserve"> выявления</w:t>
            </w:r>
          </w:p>
          <w:p w14:paraId="5C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фактов</w:t>
            </w:r>
          </w:p>
          <w:p w14:paraId="5D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</w:p>
          <w:p w14:paraId="5E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5F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6007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62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63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64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6507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1070000">
      <w:pPr>
        <w:pStyle w:val="Style_10"/>
        <w:ind w:firstLine="0" w:left="0"/>
        <w:rPr>
          <w:rFonts w:ascii="Times New Roman" w:hAnsi="Times New Roman"/>
          <w:b w:val="1"/>
          <w:sz w:val="28"/>
        </w:rPr>
      </w:pPr>
    </w:p>
    <w:p w14:paraId="72070000">
      <w:pPr>
        <w:pStyle w:val="Style_10"/>
        <w:ind w:firstLine="54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Методика оценки эффективности Программы</w:t>
      </w:r>
    </w:p>
    <w:p w14:paraId="73070000">
      <w:pPr>
        <w:pStyle w:val="Style_10"/>
        <w:ind w:firstLine="540" w:left="0"/>
        <w:rPr>
          <w:rFonts w:ascii="Times New Roman" w:hAnsi="Times New Roman"/>
          <w:sz w:val="28"/>
        </w:rPr>
      </w:pPr>
    </w:p>
    <w:p w14:paraId="74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Степень достижения целей (решения задач) муниципальной программы (</w:t>
      </w:r>
      <w:r>
        <w:rPr>
          <w:sz w:val="28"/>
        </w:rPr>
        <w:t>Сд</w:t>
      </w:r>
      <w:r>
        <w:rPr>
          <w:sz w:val="28"/>
        </w:rPr>
        <w:t>) определяется по формуле:</w:t>
      </w:r>
    </w:p>
    <w:p w14:paraId="75070000">
      <w:pPr>
        <w:widowControl w:val="0"/>
        <w:ind w:firstLine="540" w:left="142" w:right="-28"/>
        <w:jc w:val="both"/>
        <w:outlineLvl w:val="0"/>
        <w:rPr>
          <w:sz w:val="16"/>
        </w:rPr>
      </w:pPr>
    </w:p>
    <w:p w14:paraId="76070000">
      <w:pPr>
        <w:widowControl w:val="0"/>
        <w:ind w:firstLine="0" w:left="142" w:right="-28"/>
        <w:jc w:val="center"/>
        <w:rPr>
          <w:sz w:val="28"/>
        </w:rPr>
      </w:pPr>
      <w:r>
        <w:rPr>
          <w:sz w:val="28"/>
        </w:rPr>
        <w:t>Сд</w:t>
      </w:r>
      <w:r>
        <w:rPr>
          <w:sz w:val="28"/>
        </w:rPr>
        <w:t xml:space="preserve"> = </w:t>
      </w:r>
      <w:r>
        <w:rPr>
          <w:sz w:val="28"/>
        </w:rPr>
        <w:t>Зф</w:t>
      </w:r>
      <w:r>
        <w:rPr>
          <w:sz w:val="28"/>
        </w:rPr>
        <w:t xml:space="preserve"> / </w:t>
      </w:r>
      <w:r>
        <w:rPr>
          <w:sz w:val="28"/>
        </w:rPr>
        <w:t>Зп</w:t>
      </w:r>
      <w:r>
        <w:rPr>
          <w:sz w:val="28"/>
        </w:rPr>
        <w:t xml:space="preserve"> </w:t>
      </w:r>
      <w:r>
        <w:rPr>
          <w:sz w:val="28"/>
        </w:rPr>
        <w:t>x</w:t>
      </w:r>
      <w:r>
        <w:rPr>
          <w:sz w:val="28"/>
        </w:rPr>
        <w:t xml:space="preserve"> 100%,</w:t>
      </w:r>
    </w:p>
    <w:p w14:paraId="77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где:</w:t>
      </w:r>
    </w:p>
    <w:p w14:paraId="78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Зф</w:t>
      </w:r>
      <w:r>
        <w:rPr>
          <w:sz w:val="28"/>
        </w:rPr>
        <w:t xml:space="preserve"> - фактическое значение индикатора (показателя) муниципальной программы;</w:t>
      </w:r>
    </w:p>
    <w:p w14:paraId="79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Зп</w:t>
      </w:r>
      <w:r>
        <w:rPr>
          <w:sz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14:paraId="7A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14:paraId="7B070000">
      <w:pPr>
        <w:widowControl w:val="0"/>
        <w:ind w:firstLine="540" w:left="142" w:right="-28"/>
        <w:jc w:val="both"/>
        <w:rPr>
          <w:sz w:val="16"/>
        </w:rPr>
      </w:pPr>
    </w:p>
    <w:p w14:paraId="7C070000">
      <w:pPr>
        <w:widowControl w:val="0"/>
        <w:ind w:firstLine="0" w:left="142" w:right="-28"/>
        <w:jc w:val="center"/>
        <w:rPr>
          <w:sz w:val="28"/>
        </w:rPr>
      </w:pPr>
      <w:r>
        <w:rPr>
          <w:sz w:val="28"/>
        </w:rPr>
        <w:t xml:space="preserve">Уф = </w:t>
      </w:r>
      <w:r>
        <w:rPr>
          <w:sz w:val="28"/>
        </w:rPr>
        <w:t>Фф</w:t>
      </w:r>
      <w:r>
        <w:rPr>
          <w:sz w:val="28"/>
        </w:rPr>
        <w:t xml:space="preserve"> / </w:t>
      </w:r>
      <w:r>
        <w:rPr>
          <w:sz w:val="28"/>
        </w:rPr>
        <w:t>Фп</w:t>
      </w:r>
      <w:r>
        <w:rPr>
          <w:sz w:val="28"/>
        </w:rPr>
        <w:t xml:space="preserve"> </w:t>
      </w:r>
      <w:r>
        <w:rPr>
          <w:sz w:val="28"/>
        </w:rPr>
        <w:t>x</w:t>
      </w:r>
      <w:r>
        <w:rPr>
          <w:sz w:val="28"/>
        </w:rPr>
        <w:t xml:space="preserve"> 100%,</w:t>
      </w:r>
    </w:p>
    <w:p w14:paraId="7D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где:</w:t>
      </w:r>
    </w:p>
    <w:p w14:paraId="7E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Фф</w:t>
      </w:r>
      <w:r>
        <w:rPr>
          <w:sz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14:paraId="7F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Фп</w:t>
      </w:r>
      <w:r>
        <w:rPr>
          <w:sz w:val="28"/>
        </w:rPr>
        <w:t xml:space="preserve"> - плановый объем финансовых ресурсов на соответствующий отчетный период.</w:t>
      </w:r>
    </w:p>
    <w:p w14:paraId="80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Муниципальная программа считается реализуемой с высоким уровнем эффективности в следующих случаях:</w:t>
      </w:r>
    </w:p>
    <w:p w14:paraId="81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14:paraId="82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не менее 95 процентов мероприятий, запланированных на отчетный год, </w:t>
      </w:r>
      <w:r>
        <w:rPr>
          <w:sz w:val="28"/>
        </w:rPr>
        <w:t>выполнены</w:t>
      </w:r>
      <w:r>
        <w:rPr>
          <w:sz w:val="28"/>
        </w:rPr>
        <w:t xml:space="preserve"> в полном объеме.</w:t>
      </w:r>
    </w:p>
    <w:p w14:paraId="83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14:paraId="84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14:paraId="85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не менее 80 процентов мероприятий, запланированных на отчетный год, </w:t>
      </w:r>
      <w:r>
        <w:rPr>
          <w:sz w:val="28"/>
        </w:rPr>
        <w:t>выполнены</w:t>
      </w:r>
      <w:r>
        <w:rPr>
          <w:sz w:val="28"/>
        </w:rPr>
        <w:t xml:space="preserve"> в полном объеме.</w:t>
      </w:r>
    </w:p>
    <w:p w14:paraId="86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Если реализация муниципальной программы не отвечает указанным критериям, уровень эффективности ее реализации признается неудовлетворительным.  </w:t>
      </w:r>
    </w:p>
    <w:p w14:paraId="87070000">
      <w:pPr>
        <w:widowControl w:val="0"/>
        <w:ind w:firstLine="540" w:left="142" w:right="-314"/>
        <w:jc w:val="both"/>
        <w:rPr>
          <w:sz w:val="28"/>
        </w:rPr>
      </w:pPr>
    </w:p>
    <w:p w14:paraId="88070000">
      <w:pPr>
        <w:widowControl w:val="0"/>
        <w:ind w:firstLine="540" w:left="142" w:right="-314"/>
        <w:jc w:val="both"/>
        <w:rPr>
          <w:sz w:val="28"/>
        </w:rPr>
      </w:pPr>
    </w:p>
    <w:tbl>
      <w:tblPr>
        <w:tblStyle w:val="Style_5"/>
        <w:tblInd w:type="dxa" w:w="250"/>
        <w:tblLayout w:type="fixed"/>
      </w:tblPr>
      <w:tblGrid>
        <w:gridCol w:w="8046"/>
        <w:gridCol w:w="5558"/>
      </w:tblGrid>
      <w:tr>
        <w:trPr>
          <w:trHeight w:hRule="atLeast" w:val="320"/>
        </w:trPr>
        <w:tc>
          <w:tcPr>
            <w:tcW w:type="dxa" w:w="8046"/>
          </w:tcPr>
          <w:p w14:paraId="89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8A070000">
            <w:pPr>
              <w:widowControl w:val="0"/>
              <w:ind/>
              <w:rPr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8046"/>
          </w:tcPr>
          <w:p w14:paraId="8B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8C07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</w:tr>
    </w:tbl>
    <w:p w14:paraId="8D070000"/>
    <w:sectPr>
      <w:footerReference r:id="rId2" w:type="default"/>
      <w:pgSz w:h="11906" w:orient="landscape" w:w="16838"/>
      <w:pgMar w:bottom="1701" w:footer="223" w:gutter="0" w:header="0" w:left="426" w:right="28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rFonts w:ascii="Times New Roman" w:hAnsi="Times New Roman"/>
      <w:sz w:val="20"/>
    </w:rPr>
  </w:style>
  <w:style w:default="1" w:styleId="Style_11_ch" w:type="character">
    <w:name w:val="Normal"/>
    <w:link w:val="Style_11"/>
    <w:rPr>
      <w:rFonts w:ascii="Times New Roman" w:hAnsi="Times New Roman"/>
      <w:sz w:val="20"/>
    </w:rPr>
  </w:style>
  <w:style w:styleId="Style_12" w:type="paragraph">
    <w:name w:val="toc 2"/>
    <w:next w:val="Style_11"/>
    <w:link w:val="Style_12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Название1"/>
    <w:link w:val="Style_13_ch"/>
    <w:rPr>
      <w:rFonts w:ascii="Cambria" w:hAnsi="Cambria"/>
      <w:b w:val="1"/>
      <w:sz w:val="32"/>
    </w:rPr>
  </w:style>
  <w:style w:styleId="Style_13_ch" w:type="character">
    <w:name w:val="Название1"/>
    <w:link w:val="Style_13"/>
    <w:rPr>
      <w:rFonts w:ascii="Cambria" w:hAnsi="Cambria"/>
      <w:b w:val="1"/>
      <w:sz w:val="32"/>
    </w:rPr>
  </w:style>
  <w:style w:styleId="Style_14" w:type="paragraph">
    <w:name w:val="List"/>
    <w:basedOn w:val="Style_15"/>
    <w:link w:val="Style_14_ch"/>
    <w:rPr>
      <w:rFonts w:ascii="PT Astra Serif" w:hAnsi="PT Astra Serif"/>
    </w:rPr>
  </w:style>
  <w:style w:styleId="Style_14_ch" w:type="character">
    <w:name w:val="List"/>
    <w:basedOn w:val="Style_15_ch"/>
    <w:link w:val="Style_14"/>
    <w:rPr>
      <w:rFonts w:ascii="PT Astra Serif" w:hAnsi="PT Astra Serif"/>
    </w:rPr>
  </w:style>
  <w:style w:styleId="Style_8" w:type="paragraph">
    <w:name w:val="Normal (Web)"/>
    <w:basedOn w:val="Style_11"/>
    <w:link w:val="Style_8_ch"/>
    <w:pPr>
      <w:spacing w:afterAutospacing="on" w:beforeAutospacing="on"/>
      <w:ind/>
    </w:pPr>
    <w:rPr>
      <w:sz w:val="24"/>
    </w:rPr>
  </w:style>
  <w:style w:styleId="Style_8_ch" w:type="character">
    <w:name w:val="Normal (Web)"/>
    <w:basedOn w:val="Style_11_ch"/>
    <w:link w:val="Style_8"/>
    <w:rPr>
      <w:sz w:val="24"/>
    </w:rPr>
  </w:style>
  <w:style w:styleId="Style_16" w:type="paragraph">
    <w:name w:val="toc 4"/>
    <w:next w:val="Style_11"/>
    <w:link w:val="Style_16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17" w:type="paragraph">
    <w:name w:val="toc 6"/>
    <w:next w:val="Style_11"/>
    <w:link w:val="Style_17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1"/>
    <w:link w:val="Style_18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Номер строки1"/>
    <w:basedOn w:val="Style_20"/>
    <w:link w:val="Style_19_ch"/>
  </w:style>
  <w:style w:styleId="Style_19_ch" w:type="character">
    <w:name w:val="Номер строки1"/>
    <w:basedOn w:val="Style_20_ch"/>
    <w:link w:val="Style_19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Contents 3"/>
    <w:link w:val="Style_23_ch"/>
    <w:rPr>
      <w:rFonts w:ascii="XO Thames" w:hAnsi="XO Thames"/>
      <w:sz w:val="28"/>
    </w:rPr>
  </w:style>
  <w:style w:styleId="Style_23_ch" w:type="character">
    <w:name w:val="Contents 3"/>
    <w:link w:val="Style_23"/>
    <w:rPr>
      <w:rFonts w:ascii="XO Thames" w:hAnsi="XO Thames"/>
      <w:sz w:val="28"/>
    </w:rPr>
  </w:style>
  <w:style w:styleId="Style_24" w:type="paragraph">
    <w:name w:val="footer"/>
    <w:basedOn w:val="Style_11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11_ch"/>
    <w:link w:val="Style_24"/>
  </w:style>
  <w:style w:styleId="Style_25" w:type="paragraph">
    <w:name w:val="Заголовок 21"/>
    <w:basedOn w:val="Style_26"/>
    <w:link w:val="Style_25_ch"/>
    <w:rPr>
      <w:rFonts w:ascii="Arial" w:hAnsi="Arial"/>
      <w:b w:val="1"/>
      <w:caps w:val="1"/>
      <w:sz w:val="22"/>
    </w:rPr>
  </w:style>
  <w:style w:styleId="Style_25_ch" w:type="character">
    <w:name w:val="Заголовок 21"/>
    <w:basedOn w:val="Style_26_ch"/>
    <w:link w:val="Style_25"/>
    <w:rPr>
      <w:rFonts w:ascii="Arial" w:hAnsi="Arial"/>
      <w:b w:val="1"/>
      <w:caps w:val="1"/>
      <w:sz w:val="22"/>
    </w:rPr>
  </w:style>
  <w:style w:styleId="Style_27" w:type="paragraph">
    <w:name w:val="Гиперссылка3"/>
    <w:link w:val="Style_27_ch"/>
    <w:rPr>
      <w:color w:val="0000FF"/>
      <w:u w:val="single"/>
    </w:rPr>
  </w:style>
  <w:style w:styleId="Style_27_ch" w:type="character">
    <w:name w:val="Гиперссылка3"/>
    <w:link w:val="Style_27"/>
    <w:rPr>
      <w:color w:val="0000FF"/>
      <w:u w:val="single"/>
    </w:rPr>
  </w:style>
  <w:style w:styleId="Style_28" w:type="paragraph">
    <w:name w:val="heading 3"/>
    <w:next w:val="Style_11"/>
    <w:link w:val="Style_28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28_ch" w:type="character">
    <w:name w:val="heading 3"/>
    <w:link w:val="Style_28"/>
    <w:rPr>
      <w:rFonts w:ascii="XO Thames" w:hAnsi="XO Thames"/>
      <w:b w:val="1"/>
      <w:sz w:val="26"/>
    </w:rPr>
  </w:style>
  <w:style w:styleId="Style_7" w:type="paragraph">
    <w:name w:val="ConsPlusCell"/>
    <w:link w:val="Style_7_ch"/>
    <w:rPr>
      <w:rFonts w:ascii="Arial" w:hAnsi="Arial"/>
      <w:sz w:val="20"/>
    </w:rPr>
  </w:style>
  <w:style w:styleId="Style_7_ch" w:type="character">
    <w:name w:val="ConsPlusCell"/>
    <w:link w:val="Style_7"/>
    <w:rPr>
      <w:rFonts w:ascii="Arial" w:hAnsi="Arial"/>
      <w:sz w:val="20"/>
    </w:rPr>
  </w:style>
  <w:style w:styleId="Style_29" w:type="paragraph">
    <w:name w:val="Heading 1"/>
    <w:link w:val="Style_29_ch"/>
    <w:rPr>
      <w:rFonts w:ascii="Cambria" w:hAnsi="Cambria"/>
      <w:b w:val="1"/>
      <w:sz w:val="32"/>
    </w:rPr>
  </w:style>
  <w:style w:styleId="Style_29_ch" w:type="character">
    <w:name w:val="Heading 1"/>
    <w:link w:val="Style_29"/>
    <w:rPr>
      <w:rFonts w:ascii="Cambria" w:hAnsi="Cambria"/>
      <w:b w:val="1"/>
      <w:sz w:val="32"/>
    </w:rPr>
  </w:style>
  <w:style w:styleId="Style_30" w:type="paragraph">
    <w:name w:val="Обычный1"/>
    <w:link w:val="Style_30_ch"/>
    <w:rPr>
      <w:rFonts w:ascii="Times New Roman" w:hAnsi="Times New Roman"/>
      <w:sz w:val="20"/>
    </w:rPr>
  </w:style>
  <w:style w:styleId="Style_30_ch" w:type="character">
    <w:name w:val="Обычный1"/>
    <w:link w:val="Style_30"/>
    <w:rPr>
      <w:rFonts w:ascii="Times New Roman" w:hAnsi="Times New Roman"/>
      <w:sz w:val="20"/>
    </w:rPr>
  </w:style>
  <w:style w:styleId="Style_31" w:type="paragraph">
    <w:name w:val="Footer"/>
    <w:link w:val="Style_31_ch"/>
  </w:style>
  <w:style w:styleId="Style_31_ch" w:type="character">
    <w:name w:val="Footer"/>
    <w:link w:val="Style_31"/>
  </w:style>
  <w:style w:styleId="Style_32" w:type="paragraph">
    <w:name w:val="Обычный1"/>
    <w:link w:val="Style_32_ch"/>
    <w:pPr>
      <w:spacing w:after="200" w:line="276" w:lineRule="auto"/>
      <w:ind/>
    </w:pPr>
    <w:rPr>
      <w:rFonts w:ascii="Times New Roman" w:hAnsi="Times New Roman"/>
      <w:sz w:val="20"/>
    </w:rPr>
  </w:style>
  <w:style w:styleId="Style_32_ch" w:type="character">
    <w:name w:val="Обычный1"/>
    <w:link w:val="Style_32"/>
    <w:rPr>
      <w:rFonts w:ascii="Times New Roman" w:hAnsi="Times New Roman"/>
      <w:sz w:val="20"/>
    </w:rPr>
  </w:style>
  <w:style w:styleId="Style_33" w:type="paragraph">
    <w:name w:val="Balloon Text"/>
    <w:basedOn w:val="Style_11"/>
    <w:link w:val="Style_33_ch"/>
    <w:rPr>
      <w:rFonts w:ascii="Tahoma" w:hAnsi="Tahoma"/>
      <w:sz w:val="16"/>
    </w:rPr>
  </w:style>
  <w:style w:styleId="Style_33_ch" w:type="character">
    <w:name w:val="Balloon Text"/>
    <w:basedOn w:val="Style_11_ch"/>
    <w:link w:val="Style_33"/>
    <w:rPr>
      <w:rFonts w:ascii="Tahoma" w:hAnsi="Tahoma"/>
      <w:sz w:val="16"/>
    </w:rPr>
  </w:style>
  <w:style w:styleId="Style_34" w:type="paragraph">
    <w:name w:val="Основной текст1"/>
    <w:basedOn w:val="Style_11"/>
    <w:link w:val="Style_34_ch"/>
    <w:pPr>
      <w:widowControl w:val="0"/>
      <w:spacing w:after="260"/>
      <w:ind w:firstLine="400" w:left="0"/>
      <w:jc w:val="both"/>
    </w:pPr>
    <w:rPr>
      <w:sz w:val="28"/>
    </w:rPr>
  </w:style>
  <w:style w:styleId="Style_34_ch" w:type="character">
    <w:name w:val="Основной текст1"/>
    <w:basedOn w:val="Style_11_ch"/>
    <w:link w:val="Style_34"/>
    <w:rPr>
      <w:sz w:val="28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Contents 1"/>
    <w:link w:val="Style_36_ch"/>
    <w:rPr>
      <w:rFonts w:ascii="XO Thames" w:hAnsi="XO Thames"/>
      <w:b w:val="1"/>
      <w:sz w:val="28"/>
    </w:rPr>
  </w:style>
  <w:style w:styleId="Style_36_ch" w:type="character">
    <w:name w:val="Contents 1"/>
    <w:link w:val="Style_36"/>
    <w:rPr>
      <w:rFonts w:ascii="XO Thames" w:hAnsi="XO Thames"/>
      <w:b w:val="1"/>
      <w:sz w:val="28"/>
    </w:rPr>
  </w:style>
  <w:style w:styleId="Style_26" w:type="paragraph">
    <w:name w:val="Обычный1"/>
    <w:link w:val="Style_26_ch"/>
    <w:rPr>
      <w:rFonts w:ascii="Times New Roman" w:hAnsi="Times New Roman"/>
      <w:sz w:val="20"/>
    </w:rPr>
  </w:style>
  <w:style w:styleId="Style_26_ch" w:type="character">
    <w:name w:val="Обычный1"/>
    <w:link w:val="Style_26"/>
    <w:rPr>
      <w:rFonts w:ascii="Times New Roman" w:hAnsi="Times New Roman"/>
      <w:sz w:val="20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Header"/>
    <w:link w:val="Style_38_ch"/>
  </w:style>
  <w:style w:styleId="Style_38_ch" w:type="character">
    <w:name w:val="Header"/>
    <w:link w:val="Style_38"/>
  </w:style>
  <w:style w:styleId="Style_39" w:type="paragraph">
    <w:name w:val="Caption"/>
    <w:basedOn w:val="Style_11"/>
    <w:link w:val="Style_39_ch"/>
    <w:pPr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Caption"/>
    <w:basedOn w:val="Style_11_ch"/>
    <w:link w:val="Style_39"/>
    <w:rPr>
      <w:rFonts w:ascii="PT Astra Serif" w:hAnsi="PT Astra Serif"/>
      <w:i w:val="1"/>
      <w:sz w:val="24"/>
    </w:rPr>
  </w:style>
  <w:style w:styleId="Style_40" w:type="paragraph">
    <w:name w:val="Internet link"/>
    <w:link w:val="Style_40_ch"/>
    <w:rPr>
      <w:rFonts w:ascii="Calibri" w:hAnsi="Calibri"/>
      <w:color w:val="0000FF"/>
      <w:u w:val="single"/>
    </w:rPr>
  </w:style>
  <w:style w:styleId="Style_40_ch" w:type="character">
    <w:name w:val="Internet link"/>
    <w:link w:val="Style_40"/>
    <w:rPr>
      <w:rFonts w:ascii="Calibri" w:hAnsi="Calibri"/>
      <w:color w:val="0000FF"/>
      <w:u w:val="single"/>
    </w:rPr>
  </w:style>
  <w:style w:styleId="Style_41" w:type="paragraph">
    <w:name w:val="Основной шрифт абзаца3"/>
    <w:link w:val="Style_41_ch"/>
    <w:pPr>
      <w:spacing w:after="200" w:line="276" w:lineRule="auto"/>
      <w:ind/>
    </w:pPr>
  </w:style>
  <w:style w:styleId="Style_41_ch" w:type="character">
    <w:name w:val="Основной шрифт абзаца3"/>
    <w:link w:val="Style_41"/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42" w:type="paragraph">
    <w:name w:val="Contents 2"/>
    <w:link w:val="Style_42_ch"/>
    <w:rPr>
      <w:rFonts w:ascii="XO Thames" w:hAnsi="XO Thames"/>
      <w:sz w:val="28"/>
    </w:rPr>
  </w:style>
  <w:style w:styleId="Style_42_ch" w:type="character">
    <w:name w:val="Contents 2"/>
    <w:link w:val="Style_42"/>
    <w:rPr>
      <w:rFonts w:ascii="XO Thames" w:hAnsi="XO Thames"/>
      <w:sz w:val="28"/>
    </w:rPr>
  </w:style>
  <w:style w:styleId="Style_43" w:type="paragraph">
    <w:name w:val="Гиперссылка2"/>
    <w:link w:val="Style_43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43_ch" w:type="character">
    <w:name w:val="Гиперссылка2"/>
    <w:link w:val="Style_43"/>
    <w:rPr>
      <w:rFonts w:ascii="Calibri" w:hAnsi="Calibri"/>
      <w:color w:val="0000FF"/>
      <w:u w:val="single"/>
    </w:rPr>
  </w:style>
  <w:style w:styleId="Style_44" w:type="paragraph">
    <w:name w:val="Выделение1"/>
    <w:basedOn w:val="Style_20"/>
    <w:link w:val="Style_44_ch"/>
    <w:rPr>
      <w:i w:val="1"/>
    </w:rPr>
  </w:style>
  <w:style w:styleId="Style_44_ch" w:type="character">
    <w:name w:val="Выделение1"/>
    <w:basedOn w:val="Style_20_ch"/>
    <w:link w:val="Style_44"/>
    <w:rPr>
      <w:i w:val="1"/>
    </w:rPr>
  </w:style>
  <w:style w:styleId="Style_45" w:type="paragraph">
    <w:name w:val="toc 3"/>
    <w:next w:val="Style_11"/>
    <w:link w:val="Style_45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Основной шрифт абзаца2"/>
    <w:link w:val="Style_46_ch"/>
    <w:pPr>
      <w:spacing w:after="200" w:line="276" w:lineRule="auto"/>
      <w:ind/>
    </w:pPr>
  </w:style>
  <w:style w:styleId="Style_46_ch" w:type="character">
    <w:name w:val="Основной шрифт абзаца2"/>
    <w:link w:val="Style_46"/>
  </w:style>
  <w:style w:styleId="Style_47" w:type="paragraph">
    <w:name w:val="Заголовок"/>
    <w:basedOn w:val="Style_11"/>
    <w:next w:val="Style_15"/>
    <w:link w:val="Style_4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7_ch" w:type="character">
    <w:name w:val="Заголовок"/>
    <w:basedOn w:val="Style_11_ch"/>
    <w:link w:val="Style_47"/>
    <w:rPr>
      <w:rFonts w:ascii="PT Astra Serif" w:hAnsi="PT Astra Serif"/>
      <w:sz w:val="28"/>
    </w:rPr>
  </w:style>
  <w:style w:styleId="Style_48" w:type="paragraph">
    <w:name w:val="header"/>
    <w:basedOn w:val="Style_11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header"/>
    <w:basedOn w:val="Style_11_ch"/>
    <w:link w:val="Style_48"/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50" w:type="paragraph">
    <w:name w:val="Колонтитул"/>
    <w:link w:val="Style_50_ch"/>
    <w:rPr>
      <w:rFonts w:ascii="XO Thames" w:hAnsi="XO Thames"/>
      <w:sz w:val="20"/>
    </w:rPr>
  </w:style>
  <w:style w:styleId="Style_50_ch" w:type="character">
    <w:name w:val="Колонтитул"/>
    <w:link w:val="Style_50"/>
    <w:rPr>
      <w:rFonts w:ascii="XO Thames" w:hAnsi="XO Thames"/>
      <w:sz w:val="20"/>
    </w:rPr>
  </w:style>
  <w:style w:styleId="Style_4" w:type="paragraph">
    <w:name w:val="Iau?iue"/>
    <w:link w:val="Style_4_ch"/>
    <w:rPr>
      <w:rFonts w:ascii="Times New Roman" w:hAnsi="Times New Roman"/>
      <w:sz w:val="20"/>
    </w:rPr>
  </w:style>
  <w:style w:styleId="Style_4_ch" w:type="character">
    <w:name w:val="Iau?iue"/>
    <w:link w:val="Style_4"/>
    <w:rPr>
      <w:rFonts w:ascii="Times New Roman" w:hAnsi="Times New Roman"/>
      <w:sz w:val="20"/>
    </w:rPr>
  </w:style>
  <w:style w:styleId="Style_51" w:type="paragraph">
    <w:name w:val="Contents 8"/>
    <w:link w:val="Style_51_ch"/>
    <w:rPr>
      <w:rFonts w:ascii="XO Thames" w:hAnsi="XO Thames"/>
      <w:sz w:val="28"/>
    </w:rPr>
  </w:style>
  <w:style w:styleId="Style_51_ch" w:type="character">
    <w:name w:val="Contents 8"/>
    <w:link w:val="Style_51"/>
    <w:rPr>
      <w:rFonts w:ascii="XO Thames" w:hAnsi="XO Thames"/>
      <w:sz w:val="28"/>
    </w:rPr>
  </w:style>
  <w:style w:styleId="Style_52" w:type="paragraph">
    <w:name w:val="Contents 7"/>
    <w:link w:val="Style_52_ch"/>
    <w:rPr>
      <w:rFonts w:ascii="XO Thames" w:hAnsi="XO Thames"/>
      <w:sz w:val="28"/>
    </w:rPr>
  </w:style>
  <w:style w:styleId="Style_52_ch" w:type="character">
    <w:name w:val="Contents 7"/>
    <w:link w:val="Style_52"/>
    <w:rPr>
      <w:rFonts w:ascii="XO Thames" w:hAnsi="XO Thames"/>
      <w:sz w:val="28"/>
    </w:rPr>
  </w:style>
  <w:style w:styleId="Style_53" w:type="paragraph">
    <w:name w:val="Обычный1"/>
    <w:link w:val="Style_53_ch"/>
    <w:rPr>
      <w:rFonts w:ascii="Times New Roman" w:hAnsi="Times New Roman"/>
      <w:sz w:val="20"/>
    </w:rPr>
  </w:style>
  <w:style w:styleId="Style_53_ch" w:type="character">
    <w:name w:val="Обычный1"/>
    <w:link w:val="Style_53"/>
    <w:rPr>
      <w:rFonts w:ascii="Times New Roman" w:hAnsi="Times New Roman"/>
      <w:sz w:val="20"/>
    </w:rPr>
  </w:style>
  <w:style w:styleId="Style_54" w:type="paragraph">
    <w:name w:val="Body Text 3"/>
    <w:basedOn w:val="Style_11"/>
    <w:link w:val="Style_54_ch"/>
    <w:pPr>
      <w:ind/>
      <w:jc w:val="both"/>
    </w:pPr>
    <w:rPr>
      <w:b w:val="1"/>
      <w:sz w:val="28"/>
    </w:rPr>
  </w:style>
  <w:style w:styleId="Style_54_ch" w:type="character">
    <w:name w:val="Body Text 3"/>
    <w:basedOn w:val="Style_11_ch"/>
    <w:link w:val="Style_54"/>
    <w:rPr>
      <w:b w:val="1"/>
      <w:sz w:val="28"/>
    </w:rPr>
  </w:style>
  <w:style w:styleId="Style_55" w:type="paragraph">
    <w:name w:val="Строгий1"/>
    <w:basedOn w:val="Style_20"/>
    <w:link w:val="Style_55_ch"/>
    <w:rPr>
      <w:b w:val="1"/>
    </w:rPr>
  </w:style>
  <w:style w:styleId="Style_55_ch" w:type="character">
    <w:name w:val="Строгий1"/>
    <w:basedOn w:val="Style_20_ch"/>
    <w:link w:val="Style_55"/>
    <w:rPr>
      <w:b w:val="1"/>
    </w:rPr>
  </w:style>
  <w:style w:styleId="Style_56" w:type="paragraph">
    <w:name w:val="Contents 9"/>
    <w:link w:val="Style_56_ch"/>
    <w:rPr>
      <w:rFonts w:ascii="XO Thames" w:hAnsi="XO Thames"/>
      <w:sz w:val="28"/>
    </w:rPr>
  </w:style>
  <w:style w:styleId="Style_56_ch" w:type="character">
    <w:name w:val="Contents 9"/>
    <w:link w:val="Style_56"/>
    <w:rPr>
      <w:rFonts w:ascii="XO Thames" w:hAnsi="XO Thames"/>
      <w:sz w:val="28"/>
    </w:rPr>
  </w:style>
  <w:style w:styleId="Style_2" w:type="paragraph">
    <w:name w:val="heading 5"/>
    <w:basedOn w:val="Style_11"/>
    <w:next w:val="Style_11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11_ch"/>
    <w:link w:val="Style_2"/>
    <w:rPr>
      <w:b w:val="1"/>
      <w:sz w:val="28"/>
    </w:rPr>
  </w:style>
  <w:style w:styleId="Style_57" w:type="paragraph">
    <w:name w:val="Обычный1"/>
    <w:link w:val="Style_57_ch"/>
    <w:rPr>
      <w:rFonts w:ascii="Times New Roman" w:hAnsi="Times New Roman"/>
      <w:sz w:val="20"/>
    </w:rPr>
  </w:style>
  <w:style w:styleId="Style_57_ch" w:type="character">
    <w:name w:val="Обычный1"/>
    <w:link w:val="Style_57"/>
    <w:rPr>
      <w:rFonts w:ascii="Times New Roman" w:hAnsi="Times New Roman"/>
      <w:sz w:val="20"/>
    </w:rPr>
  </w:style>
  <w:style w:styleId="Style_58" w:type="paragraph">
    <w:name w:val="Подзаголовок1"/>
    <w:link w:val="Style_58_ch"/>
    <w:rPr>
      <w:sz w:val="28"/>
    </w:rPr>
  </w:style>
  <w:style w:styleId="Style_58_ch" w:type="character">
    <w:name w:val="Подзаголовок1"/>
    <w:link w:val="Style_58"/>
    <w:rPr>
      <w:sz w:val="28"/>
    </w:rPr>
  </w:style>
  <w:style w:styleId="Style_9" w:type="paragraph">
    <w:name w:val="heading 1"/>
    <w:next w:val="Style_11"/>
    <w:link w:val="Style_9_ch"/>
    <w:uiPriority w:val="9"/>
    <w:qFormat/>
    <w:pPr>
      <w:ind/>
      <w:outlineLvl w:val="0"/>
    </w:pPr>
    <w:rPr>
      <w:rFonts w:ascii="Cambria" w:hAnsi="Cambria"/>
      <w:b w:val="1"/>
      <w:sz w:val="32"/>
    </w:rPr>
  </w:style>
  <w:style w:styleId="Style_9_ch" w:type="character">
    <w:name w:val="heading 1"/>
    <w:link w:val="Style_9"/>
    <w:rPr>
      <w:rFonts w:ascii="Cambria" w:hAnsi="Cambria"/>
      <w:b w:val="1"/>
      <w:sz w:val="32"/>
    </w:rPr>
  </w:style>
  <w:style w:styleId="Style_59" w:type="paragraph">
    <w:name w:val="Caption"/>
    <w:link w:val="Style_59_ch"/>
    <w:rPr>
      <w:rFonts w:ascii="PT Astra Serif" w:hAnsi="PT Astra Serif"/>
      <w:i w:val="1"/>
      <w:sz w:val="24"/>
    </w:rPr>
  </w:style>
  <w:style w:styleId="Style_59_ch" w:type="character">
    <w:name w:val="Caption"/>
    <w:link w:val="Style_59"/>
    <w:rPr>
      <w:rFonts w:ascii="PT Astra Serif" w:hAnsi="PT Astra Serif"/>
      <w:i w:val="1"/>
      <w:sz w:val="24"/>
    </w:rPr>
  </w:style>
  <w:style w:styleId="Style_60" w:type="paragraph">
    <w:name w:val="Body Single"/>
    <w:link w:val="Style_60_ch"/>
    <w:pPr>
      <w:widowControl w:val="0"/>
      <w:ind/>
    </w:pPr>
    <w:rPr>
      <w:rFonts w:ascii="Times New Roman" w:hAnsi="Times New Roman"/>
      <w:sz w:val="28"/>
    </w:rPr>
  </w:style>
  <w:style w:styleId="Style_60_ch" w:type="character">
    <w:name w:val="Body Single"/>
    <w:link w:val="Style_60"/>
    <w:rPr>
      <w:rFonts w:ascii="Times New Roman" w:hAnsi="Times New Roman"/>
      <w:sz w:val="28"/>
    </w:rPr>
  </w:style>
  <w:style w:styleId="Style_20" w:type="paragraph">
    <w:name w:val="Основной шрифт абзаца1"/>
    <w:link w:val="Style_20_ch"/>
    <w:pPr>
      <w:spacing w:after="200" w:line="276" w:lineRule="auto"/>
      <w:ind/>
    </w:pPr>
  </w:style>
  <w:style w:styleId="Style_20_ch" w:type="character">
    <w:name w:val="Основной шрифт абзаца1"/>
    <w:link w:val="Style_20"/>
  </w:style>
  <w:style w:styleId="Style_61" w:type="paragraph">
    <w:name w:val="Гиперссылка2"/>
    <w:link w:val="Style_61_ch"/>
    <w:rPr>
      <w:color w:val="0000FF"/>
      <w:u w:val="single"/>
    </w:rPr>
  </w:style>
  <w:style w:styleId="Style_61_ch" w:type="character">
    <w:name w:val="Гиперссылка2"/>
    <w:link w:val="Style_61"/>
    <w:rPr>
      <w:color w:val="0000FF"/>
      <w:u w:val="single"/>
    </w:rPr>
  </w:style>
  <w:style w:styleId="Style_62" w:type="paragraph">
    <w:name w:val="apple-converted-space"/>
    <w:basedOn w:val="Style_20"/>
    <w:link w:val="Style_62_ch"/>
  </w:style>
  <w:style w:styleId="Style_62_ch" w:type="character">
    <w:name w:val="apple-converted-space"/>
    <w:basedOn w:val="Style_20_ch"/>
    <w:link w:val="Style_62"/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64_ch" w:type="character">
    <w:name w:val="Footnote"/>
    <w:link w:val="Style_64"/>
    <w:rPr>
      <w:rFonts w:ascii="XO Thames" w:hAnsi="XO Thames"/>
    </w:rPr>
  </w:style>
  <w:style w:styleId="Style_65" w:type="paragraph">
    <w:name w:val="index heading"/>
    <w:basedOn w:val="Style_11"/>
    <w:link w:val="Style_65_ch"/>
    <w:rPr>
      <w:rFonts w:ascii="PT Astra Serif" w:hAnsi="PT Astra Serif"/>
    </w:rPr>
  </w:style>
  <w:style w:styleId="Style_65_ch" w:type="character">
    <w:name w:val="index heading"/>
    <w:basedOn w:val="Style_11_ch"/>
    <w:link w:val="Style_65"/>
    <w:rPr>
      <w:rFonts w:ascii="PT Astra Serif" w:hAnsi="PT Astra Serif"/>
    </w:rPr>
  </w:style>
  <w:style w:styleId="Style_66" w:type="paragraph">
    <w:name w:val="toc 1"/>
    <w:next w:val="Style_11"/>
    <w:link w:val="Style_66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66_ch" w:type="character">
    <w:name w:val="toc 1"/>
    <w:link w:val="Style_66"/>
    <w:rPr>
      <w:rFonts w:ascii="XO Thames" w:hAnsi="XO Thames"/>
      <w:b w:val="1"/>
      <w:sz w:val="28"/>
    </w:rPr>
  </w:style>
  <w:style w:styleId="Style_67" w:type="paragraph">
    <w:name w:val="Номер страницы1"/>
    <w:basedOn w:val="Style_20"/>
    <w:link w:val="Style_67_ch"/>
  </w:style>
  <w:style w:styleId="Style_67_ch" w:type="character">
    <w:name w:val="Номер страницы1"/>
    <w:basedOn w:val="Style_20_ch"/>
    <w:link w:val="Style_67"/>
  </w:style>
  <w:style w:styleId="Style_68" w:type="paragraph">
    <w:name w:val="Гиперссылка1"/>
    <w:link w:val="Style_68_ch"/>
    <w:rPr>
      <w:color w:val="0000FF"/>
      <w:u w:val="single"/>
    </w:rPr>
  </w:style>
  <w:style w:styleId="Style_68_ch" w:type="character">
    <w:name w:val="Гиперссылка1"/>
    <w:link w:val="Style_68"/>
    <w:rPr>
      <w:color w:val="0000FF"/>
      <w:u w:val="single"/>
    </w:rPr>
  </w:style>
  <w:style w:styleId="Style_69" w:type="paragraph">
    <w:name w:val="Heading 5"/>
    <w:link w:val="Style_69_ch"/>
    <w:rPr>
      <w:b w:val="1"/>
      <w:sz w:val="28"/>
    </w:rPr>
  </w:style>
  <w:style w:styleId="Style_69_ch" w:type="character">
    <w:name w:val="Heading 5"/>
    <w:link w:val="Style_69"/>
    <w:rPr>
      <w:b w:val="1"/>
      <w:sz w:val="28"/>
    </w:rPr>
  </w:style>
  <w:style w:styleId="Style_70" w:type="paragraph">
    <w:name w:val="Слабое выделение1"/>
    <w:basedOn w:val="Style_20"/>
    <w:link w:val="Style_70_ch"/>
    <w:rPr>
      <w:i w:val="1"/>
      <w:color w:val="808080"/>
    </w:rPr>
  </w:style>
  <w:style w:styleId="Style_70_ch" w:type="character">
    <w:name w:val="Слабое выделение1"/>
    <w:basedOn w:val="Style_20_ch"/>
    <w:link w:val="Style_70"/>
    <w:rPr>
      <w:i w:val="1"/>
      <w:color w:val="808080"/>
    </w:rPr>
  </w:style>
  <w:style w:styleId="Style_71" w:type="paragraph">
    <w:name w:val="Header and Footer"/>
    <w:link w:val="Style_71_ch"/>
    <w:rPr>
      <w:rFonts w:ascii="XO Thames" w:hAnsi="XO Thames"/>
      <w:sz w:val="20"/>
    </w:rPr>
  </w:style>
  <w:style w:styleId="Style_71_ch" w:type="character">
    <w:name w:val="Header and Footer"/>
    <w:link w:val="Style_71"/>
    <w:rPr>
      <w:rFonts w:ascii="XO Thames" w:hAnsi="XO Thames"/>
      <w:sz w:val="20"/>
    </w:rPr>
  </w:style>
  <w:style w:styleId="Style_72" w:type="paragraph">
    <w:name w:val="caption"/>
    <w:basedOn w:val="Style_11"/>
    <w:next w:val="Style_11"/>
    <w:link w:val="Style_72_ch"/>
    <w:rPr>
      <w:b w:val="1"/>
    </w:rPr>
  </w:style>
  <w:style w:styleId="Style_72_ch" w:type="character">
    <w:name w:val="caption"/>
    <w:basedOn w:val="Style_11_ch"/>
    <w:link w:val="Style_72"/>
    <w:rPr>
      <w:b w:val="1"/>
    </w:rPr>
  </w:style>
  <w:style w:styleId="Style_73" w:type="paragraph">
    <w:name w:val="toc 9"/>
    <w:next w:val="Style_11"/>
    <w:link w:val="Style_73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73_ch" w:type="character">
    <w:name w:val="toc 9"/>
    <w:link w:val="Style_73"/>
    <w:rPr>
      <w:rFonts w:ascii="XO Thames" w:hAnsi="XO Thames"/>
      <w:sz w:val="28"/>
    </w:rPr>
  </w:style>
  <w:style w:styleId="Style_74" w:type="paragraph">
    <w:name w:val="toc 8"/>
    <w:next w:val="Style_11"/>
    <w:link w:val="Style_74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75" w:type="paragraph">
    <w:name w:val="Список1"/>
    <w:basedOn w:val="Style_76"/>
    <w:link w:val="Style_75_ch"/>
    <w:rPr>
      <w:rFonts w:ascii="PT Astra Serif" w:hAnsi="PT Astra Serif"/>
    </w:rPr>
  </w:style>
  <w:style w:styleId="Style_75_ch" w:type="character">
    <w:name w:val="Список1"/>
    <w:basedOn w:val="Style_76_ch"/>
    <w:link w:val="Style_75"/>
    <w:rPr>
      <w:rFonts w:ascii="PT Astra Serif" w:hAnsi="PT Astra Serif"/>
    </w:rPr>
  </w:style>
  <w:style w:styleId="Style_77" w:type="paragraph">
    <w:name w:val="Основной шрифт абзаца4"/>
    <w:link w:val="Style_77_ch"/>
  </w:style>
  <w:style w:styleId="Style_77_ch" w:type="character">
    <w:name w:val="Основной шрифт абзаца4"/>
    <w:link w:val="Style_77"/>
  </w:style>
  <w:style w:styleId="Style_78" w:type="paragraph">
    <w:name w:val="Заголовок 41"/>
    <w:basedOn w:val="Style_26"/>
    <w:link w:val="Style_78_ch"/>
    <w:rPr>
      <w:b w:val="1"/>
      <w:sz w:val="36"/>
    </w:rPr>
  </w:style>
  <w:style w:styleId="Style_78_ch" w:type="character">
    <w:name w:val="Заголовок 41"/>
    <w:basedOn w:val="Style_26_ch"/>
    <w:link w:val="Style_78"/>
    <w:rPr>
      <w:b w:val="1"/>
      <w:sz w:val="36"/>
    </w:rPr>
  </w:style>
  <w:style w:styleId="Style_79" w:type="paragraph">
    <w:name w:val="Содержимое врезки"/>
    <w:basedOn w:val="Style_11"/>
    <w:link w:val="Style_79_ch"/>
  </w:style>
  <w:style w:styleId="Style_79_ch" w:type="character">
    <w:name w:val="Содержимое врезки"/>
    <w:basedOn w:val="Style_11_ch"/>
    <w:link w:val="Style_79"/>
  </w:style>
  <w:style w:styleId="Style_80" w:type="paragraph">
    <w:name w:val="Header"/>
    <w:link w:val="Style_80_ch"/>
  </w:style>
  <w:style w:styleId="Style_80_ch" w:type="character">
    <w:name w:val="Header"/>
    <w:link w:val="Style_80"/>
  </w:style>
  <w:style w:styleId="Style_81" w:type="paragraph">
    <w:name w:val="Гиперссылка1"/>
    <w:link w:val="Style_81_ch"/>
    <w:rPr>
      <w:color w:val="0000FF"/>
      <w:u w:val="single"/>
    </w:rPr>
  </w:style>
  <w:style w:styleId="Style_81_ch" w:type="character">
    <w:name w:val="Гиперссылка1"/>
    <w:link w:val="Style_81"/>
    <w:rPr>
      <w:color w:val="0000FF"/>
      <w:u w:val="single"/>
    </w:rPr>
  </w:style>
  <w:style w:styleId="Style_15" w:type="paragraph">
    <w:name w:val="Body Text"/>
    <w:basedOn w:val="Style_11"/>
    <w:link w:val="Style_15_ch"/>
    <w:pPr>
      <w:spacing w:after="140" w:line="276" w:lineRule="auto"/>
      <w:ind/>
    </w:pPr>
  </w:style>
  <w:style w:styleId="Style_15_ch" w:type="character">
    <w:name w:val="Body Text"/>
    <w:basedOn w:val="Style_11_ch"/>
    <w:link w:val="Style_15"/>
  </w:style>
  <w:style w:styleId="Style_82" w:type="paragraph">
    <w:name w:val="toc 5"/>
    <w:next w:val="Style_11"/>
    <w:link w:val="Style_82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82_ch" w:type="character">
    <w:name w:val="toc 5"/>
    <w:link w:val="Style_82"/>
    <w:rPr>
      <w:rFonts w:ascii="XO Thames" w:hAnsi="XO Thames"/>
      <w:sz w:val="28"/>
    </w:rPr>
  </w:style>
  <w:style w:styleId="Style_76" w:type="paragraph">
    <w:name w:val="Text body"/>
    <w:link w:val="Style_76_ch"/>
  </w:style>
  <w:style w:styleId="Style_76_ch" w:type="character">
    <w:name w:val="Text body"/>
    <w:link w:val="Style_76"/>
  </w:style>
  <w:style w:styleId="Style_83" w:type="paragraph">
    <w:name w:val="Contents 4"/>
    <w:link w:val="Style_83_ch"/>
    <w:rPr>
      <w:rFonts w:ascii="XO Thames" w:hAnsi="XO Thames"/>
      <w:sz w:val="28"/>
    </w:rPr>
  </w:style>
  <w:style w:styleId="Style_83_ch" w:type="character">
    <w:name w:val="Contents 4"/>
    <w:link w:val="Style_83"/>
    <w:rPr>
      <w:rFonts w:ascii="XO Thames" w:hAnsi="XO Thames"/>
      <w:sz w:val="28"/>
    </w:rPr>
  </w:style>
  <w:style w:styleId="Style_84" w:type="paragraph">
    <w:name w:val="Intense Quote"/>
    <w:basedOn w:val="Style_11"/>
    <w:next w:val="Style_11"/>
    <w:link w:val="Style_84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84_ch" w:type="character">
    <w:name w:val="Intense Quote"/>
    <w:basedOn w:val="Style_11_ch"/>
    <w:link w:val="Style_84"/>
    <w:rPr>
      <w:b w:val="1"/>
      <w:i w:val="1"/>
      <w:color w:val="4F81BD"/>
    </w:rPr>
  </w:style>
  <w:style w:styleId="Style_85" w:type="paragraph">
    <w:name w:val="No Spacing"/>
    <w:link w:val="Style_85_ch"/>
    <w:rPr>
      <w:rFonts w:ascii="Times New Roman" w:hAnsi="Times New Roman"/>
      <w:sz w:val="24"/>
    </w:rPr>
  </w:style>
  <w:style w:styleId="Style_85_ch" w:type="character">
    <w:name w:val="No Spacing"/>
    <w:link w:val="Style_85"/>
    <w:rPr>
      <w:rFonts w:ascii="Times New Roman" w:hAnsi="Times New Roman"/>
      <w:sz w:val="24"/>
    </w:rPr>
  </w:style>
  <w:style w:styleId="Style_86" w:type="paragraph">
    <w:name w:val="Subtitle"/>
    <w:link w:val="Style_86_ch"/>
    <w:uiPriority w:val="11"/>
    <w:qFormat/>
    <w:rPr>
      <w:sz w:val="28"/>
    </w:rPr>
  </w:style>
  <w:style w:styleId="Style_86_ch" w:type="character">
    <w:name w:val="Subtitle"/>
    <w:link w:val="Style_86"/>
    <w:rPr>
      <w:sz w:val="28"/>
    </w:rPr>
  </w:style>
  <w:style w:styleId="Style_87" w:type="paragraph">
    <w:name w:val="Сильное выделение1"/>
    <w:basedOn w:val="Style_20"/>
    <w:link w:val="Style_87_ch"/>
    <w:rPr>
      <w:b w:val="1"/>
      <w:i w:val="1"/>
      <w:color w:val="4F81BD"/>
    </w:rPr>
  </w:style>
  <w:style w:styleId="Style_87_ch" w:type="character">
    <w:name w:val="Сильное выделение1"/>
    <w:basedOn w:val="Style_20_ch"/>
    <w:link w:val="Style_87"/>
    <w:rPr>
      <w:b w:val="1"/>
      <w:i w:val="1"/>
      <w:color w:val="4F81BD"/>
    </w:rPr>
  </w:style>
  <w:style w:styleId="Style_88" w:type="paragraph">
    <w:name w:val="Title"/>
    <w:next w:val="Style_11"/>
    <w:link w:val="Style_88_ch"/>
    <w:uiPriority w:val="10"/>
    <w:qFormat/>
    <w:rPr>
      <w:rFonts w:ascii="Cambria" w:hAnsi="Cambria"/>
      <w:b w:val="1"/>
      <w:sz w:val="32"/>
    </w:rPr>
  </w:style>
  <w:style w:styleId="Style_88_ch" w:type="character">
    <w:name w:val="Title"/>
    <w:link w:val="Style_88"/>
    <w:rPr>
      <w:rFonts w:ascii="Cambria" w:hAnsi="Cambria"/>
      <w:b w:val="1"/>
      <w:sz w:val="32"/>
    </w:rPr>
  </w:style>
  <w:style w:styleId="Style_3" w:type="paragraph">
    <w:name w:val="heading 4"/>
    <w:link w:val="Style_3_ch"/>
    <w:uiPriority w:val="9"/>
    <w:qFormat/>
    <w:pPr>
      <w:ind/>
      <w:outlineLvl w:val="3"/>
    </w:pPr>
    <w:rPr>
      <w:b w:val="1"/>
      <w:sz w:val="36"/>
    </w:rPr>
  </w:style>
  <w:style w:styleId="Style_3_ch" w:type="character">
    <w:name w:val="heading 4"/>
    <w:link w:val="Style_3"/>
    <w:rPr>
      <w:b w:val="1"/>
      <w:sz w:val="36"/>
    </w:rPr>
  </w:style>
  <w:style w:styleId="Style_89" w:type="paragraph">
    <w:name w:val="Heading 3"/>
    <w:link w:val="Style_89_ch"/>
    <w:rPr>
      <w:rFonts w:ascii="XO Thames" w:hAnsi="XO Thames"/>
      <w:b w:val="1"/>
      <w:sz w:val="26"/>
    </w:rPr>
  </w:style>
  <w:style w:styleId="Style_89_ch" w:type="character">
    <w:name w:val="Heading 3"/>
    <w:link w:val="Style_89"/>
    <w:rPr>
      <w:rFonts w:ascii="XO Thames" w:hAnsi="XO Thames"/>
      <w:b w:val="1"/>
      <w:sz w:val="26"/>
    </w:rPr>
  </w:style>
  <w:style w:styleId="Style_90" w:type="paragraph">
    <w:name w:val="List Paragraph"/>
    <w:basedOn w:val="Style_11"/>
    <w:link w:val="Style_90_ch"/>
    <w:pPr>
      <w:ind w:firstLine="0" w:left="720"/>
      <w:contextualSpacing w:val="1"/>
    </w:pPr>
  </w:style>
  <w:style w:styleId="Style_90_ch" w:type="character">
    <w:name w:val="List Paragraph"/>
    <w:basedOn w:val="Style_11_ch"/>
    <w:link w:val="Style_90"/>
  </w:style>
  <w:style w:styleId="Style_91" w:type="paragraph">
    <w:name w:val="heading 2"/>
    <w:link w:val="Style_91_ch"/>
    <w:uiPriority w:val="9"/>
    <w:qFormat/>
    <w:pPr>
      <w:ind/>
      <w:outlineLvl w:val="1"/>
    </w:pPr>
    <w:rPr>
      <w:rFonts w:ascii="Arial" w:hAnsi="Arial"/>
      <w:b w:val="1"/>
      <w:caps w:val="1"/>
    </w:rPr>
  </w:style>
  <w:style w:styleId="Style_91_ch" w:type="character">
    <w:name w:val="heading 2"/>
    <w:link w:val="Style_91"/>
    <w:rPr>
      <w:rFonts w:ascii="Arial" w:hAnsi="Arial"/>
      <w:b w:val="1"/>
      <w:caps w:val="1"/>
    </w:rPr>
  </w:style>
  <w:style w:styleId="Style_92" w:type="paragraph">
    <w:name w:val="Contents 6"/>
    <w:link w:val="Style_92_ch"/>
    <w:rPr>
      <w:rFonts w:ascii="XO Thames" w:hAnsi="XO Thames"/>
      <w:sz w:val="28"/>
    </w:rPr>
  </w:style>
  <w:style w:styleId="Style_92_ch" w:type="character">
    <w:name w:val="Contents 6"/>
    <w:link w:val="Style_92"/>
    <w:rPr>
      <w:rFonts w:ascii="XO Thames" w:hAnsi="XO Thames"/>
      <w:sz w:val="28"/>
    </w:rPr>
  </w:style>
  <w:style w:styleId="Style_93" w:type="paragraph">
    <w:name w:val="Гиперссылка1"/>
    <w:link w:val="Style_93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93_ch" w:type="character">
    <w:name w:val="Гиперссылка1"/>
    <w:link w:val="Style_93"/>
    <w:rPr>
      <w:rFonts w:ascii="Calibri" w:hAnsi="Calibri"/>
      <w:color w:val="0000FF"/>
      <w:u w:val="single"/>
    </w:rPr>
  </w:style>
  <w:style w:styleId="Style_6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2026-01-13T08:24:43Z</dcterms:modified>
</cp:coreProperties>
</file>